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中国人寿保险（海外）股份有限公司就中国人寿保险（海外）股份有限公司采购API数据监测平台项目进行公开招标，请合格投标人提交密封的投标文件。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highlight w:val="none"/>
          <w:lang w:eastAsia="zh-CN"/>
        </w:rPr>
      </w:pPr>
      <w:r>
        <w:rPr>
          <w:rFonts w:hint="eastAsia" w:ascii="仿宋" w:hAnsi="仿宋" w:eastAsia="仿宋" w:cstheme="minorEastAsia"/>
          <w:snapToGrid/>
          <w:kern w:val="2"/>
          <w:sz w:val="32"/>
          <w:szCs w:val="32"/>
          <w:highlight w:val="none"/>
          <w:lang w:eastAsia="zh-CN"/>
        </w:rPr>
        <w:t>公告日期：北京时间 202</w:t>
      </w:r>
      <w:r>
        <w:rPr>
          <w:rFonts w:ascii="仿宋" w:hAnsi="仿宋" w:eastAsia="仿宋" w:cstheme="minorEastAsia"/>
          <w:snapToGrid/>
          <w:kern w:val="2"/>
          <w:sz w:val="32"/>
          <w:szCs w:val="32"/>
          <w:highlight w:val="none"/>
          <w:lang w:eastAsia="zh-CN"/>
        </w:rPr>
        <w:t>4</w:t>
      </w:r>
      <w:r>
        <w:rPr>
          <w:rFonts w:hint="eastAsia" w:ascii="仿宋" w:hAnsi="仿宋" w:eastAsia="仿宋" w:cstheme="minorEastAsia"/>
          <w:snapToGrid/>
          <w:kern w:val="2"/>
          <w:sz w:val="32"/>
          <w:szCs w:val="32"/>
          <w:highlight w:val="none"/>
          <w:lang w:eastAsia="zh-CN"/>
        </w:rPr>
        <w:t>年</w:t>
      </w:r>
      <w:r>
        <w:rPr>
          <w:rFonts w:hint="eastAsia" w:ascii="仿宋" w:hAnsi="仿宋" w:eastAsia="仿宋" w:cstheme="minorEastAsia"/>
          <w:snapToGrid/>
          <w:kern w:val="2"/>
          <w:sz w:val="32"/>
          <w:szCs w:val="32"/>
          <w:highlight w:val="none"/>
          <w:lang w:val="en-US" w:eastAsia="zh-CN"/>
        </w:rPr>
        <w:t>6</w:t>
      </w:r>
      <w:r>
        <w:rPr>
          <w:rFonts w:hint="eastAsia" w:ascii="仿宋" w:hAnsi="仿宋" w:eastAsia="仿宋" w:cstheme="minorEastAsia"/>
          <w:snapToGrid/>
          <w:kern w:val="2"/>
          <w:sz w:val="32"/>
          <w:szCs w:val="32"/>
          <w:highlight w:val="none"/>
          <w:lang w:eastAsia="zh-CN"/>
        </w:rPr>
        <w:t>月</w:t>
      </w:r>
      <w:r>
        <w:rPr>
          <w:rFonts w:hint="eastAsia" w:ascii="仿宋" w:hAnsi="仿宋" w:eastAsia="仿宋" w:cstheme="minorEastAsia"/>
          <w:snapToGrid/>
          <w:kern w:val="2"/>
          <w:sz w:val="32"/>
          <w:szCs w:val="32"/>
          <w:highlight w:val="none"/>
          <w:lang w:val="en-US" w:eastAsia="zh-CN"/>
        </w:rPr>
        <w:t>19</w:t>
      </w:r>
      <w:r>
        <w:rPr>
          <w:rFonts w:hint="eastAsia" w:ascii="仿宋" w:hAnsi="仿宋" w:eastAsia="仿宋" w:cstheme="minorEastAsia"/>
          <w:snapToGrid/>
          <w:kern w:val="2"/>
          <w:sz w:val="32"/>
          <w:szCs w:val="32"/>
          <w:highlight w:val="none"/>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采购</w:t>
      </w:r>
      <w:r>
        <w:rPr>
          <w:rFonts w:hint="eastAsia" w:ascii="仿宋" w:hAnsi="仿宋" w:eastAsia="仿宋" w:cstheme="minorEastAsia"/>
          <w:snapToGrid/>
          <w:kern w:val="2"/>
          <w:sz w:val="32"/>
          <w:szCs w:val="32"/>
          <w:lang w:val="en-US" w:eastAsia="zh-CN"/>
        </w:rPr>
        <w:t>API数据监测</w:t>
      </w:r>
      <w:r>
        <w:rPr>
          <w:rFonts w:hint="eastAsia" w:ascii="仿宋" w:hAnsi="仿宋" w:eastAsia="仿宋" w:cstheme="minorEastAsia"/>
          <w:snapToGrid/>
          <w:kern w:val="2"/>
          <w:sz w:val="32"/>
          <w:szCs w:val="32"/>
          <w:lang w:eastAsia="zh-CN"/>
        </w:rPr>
        <w:t>平台项目</w:t>
      </w:r>
    </w:p>
    <w:p>
      <w:pPr>
        <w:pStyle w:val="3"/>
        <w:spacing w:before="68" w:line="560" w:lineRule="exact"/>
        <w:ind w:right="6" w:firstLine="320" w:firstLineChars="100"/>
        <w:outlineLvl w:val="0"/>
        <w:rPr>
          <w:rFonts w:ascii="仿宋" w:hAnsi="仿宋" w:eastAsia="仿宋"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二、项目编号：</w:t>
      </w:r>
      <w:r>
        <w:rPr>
          <w:rFonts w:hint="eastAsia" w:ascii="仿宋" w:hAnsi="仿宋" w:eastAsia="仿宋" w:cstheme="minorEastAsia"/>
          <w:snapToGrid/>
          <w:kern w:val="2"/>
          <w:sz w:val="32"/>
          <w:szCs w:val="32"/>
          <w:highlight w:val="none"/>
          <w:lang w:eastAsia="zh-CN"/>
        </w:rPr>
        <w:t>SZ_QB_202405070001</w:t>
      </w:r>
      <w:bookmarkStart w:id="3" w:name="_GoBack"/>
      <w:bookmarkEnd w:id="3"/>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1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tbl>
      <w:tblPr>
        <w:tblStyle w:val="9"/>
        <w:tblW w:w="5000" w:type="pct"/>
        <w:tblInd w:w="0" w:type="dxa"/>
        <w:tblLayout w:type="autofit"/>
        <w:tblCellMar>
          <w:top w:w="0" w:type="dxa"/>
          <w:left w:w="108" w:type="dxa"/>
          <w:bottom w:w="0" w:type="dxa"/>
          <w:right w:w="108" w:type="dxa"/>
        </w:tblCellMar>
      </w:tblPr>
      <w:tblGrid>
        <w:gridCol w:w="1080"/>
        <w:gridCol w:w="2235"/>
        <w:gridCol w:w="4298"/>
        <w:gridCol w:w="2063"/>
      </w:tblGrid>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序号</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产品名称</w:t>
            </w:r>
          </w:p>
        </w:tc>
        <w:tc>
          <w:tcPr>
            <w:tcW w:w="2221" w:type="pct"/>
            <w:tcBorders>
              <w:top w:val="single" w:color="000000" w:sz="4" w:space="0"/>
              <w:left w:val="single" w:color="000000" w:sz="4" w:space="0"/>
              <w:bottom w:val="single" w:color="000000" w:sz="4" w:space="0"/>
              <w:right w:val="single" w:color="000000" w:sz="4" w:space="0"/>
            </w:tcBorders>
          </w:tcPr>
          <w:p>
            <w:pPr>
              <w:pStyle w:val="4"/>
              <w:jc w:val="center"/>
              <w:rPr>
                <w:rFonts w:hint="default" w:ascii="仿宋" w:hAnsi="仿宋" w:eastAsia="仿宋" w:cs="宋体"/>
                <w:sz w:val="28"/>
                <w:szCs w:val="28"/>
              </w:rPr>
            </w:pPr>
            <w:r>
              <w:rPr>
                <w:rFonts w:ascii="仿宋" w:hAnsi="仿宋" w:eastAsia="仿宋" w:cs="宋体"/>
                <w:sz w:val="28"/>
                <w:szCs w:val="28"/>
              </w:rPr>
              <w:t>详细要求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数量</w:t>
            </w:r>
          </w:p>
        </w:tc>
      </w:tr>
      <w:tr>
        <w:tblPrEx>
          <w:tblCellMar>
            <w:top w:w="0" w:type="dxa"/>
            <w:left w:w="108" w:type="dxa"/>
            <w:bottom w:w="0" w:type="dxa"/>
            <w:right w:w="108" w:type="dxa"/>
          </w:tblCellMar>
        </w:tblPrEx>
        <w:trPr>
          <w:trHeight w:val="55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rPr>
                <w:rFonts w:hint="eastAsia"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API数据监测平台</w:t>
            </w:r>
          </w:p>
        </w:tc>
        <w:tc>
          <w:tcPr>
            <w:tcW w:w="4298" w:type="dxa"/>
            <w:tcBorders>
              <w:top w:val="single" w:color="000000" w:sz="4" w:space="0"/>
              <w:left w:val="single" w:color="000000" w:sz="4" w:space="0"/>
              <w:bottom w:val="single" w:color="000000" w:sz="4" w:space="0"/>
              <w:right w:val="single" w:color="000000" w:sz="4" w:space="0"/>
            </w:tcBorders>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【产品部署】部署API数据监测平台产品，实现全量接口资产识别和风险评估，API上线、变更、失活下线等环节监控；接口中携带的敏感数据识别，接口异常流量、用户异常操作、异常数据调用行为等实时预警。</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1套</w:t>
            </w:r>
          </w:p>
        </w:tc>
      </w:tr>
      <w:tr>
        <w:tblPrEx>
          <w:tblCellMar>
            <w:top w:w="0" w:type="dxa"/>
            <w:left w:w="108" w:type="dxa"/>
            <w:bottom w:w="0" w:type="dxa"/>
            <w:right w:w="108" w:type="dxa"/>
          </w:tblCellMar>
        </w:tblPrEx>
        <w:trPr>
          <w:trHeight w:val="55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2</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集成实施及定制化开发服务</w:t>
            </w:r>
          </w:p>
        </w:tc>
        <w:tc>
          <w:tcPr>
            <w:tcW w:w="4298" w:type="dxa"/>
            <w:tcBorders>
              <w:top w:val="single" w:color="000000" w:sz="4" w:space="0"/>
              <w:left w:val="single" w:color="000000" w:sz="4" w:space="0"/>
              <w:bottom w:val="single" w:color="000000" w:sz="4" w:space="0"/>
              <w:right w:val="single" w:color="000000" w:sz="4" w:space="0"/>
            </w:tcBorders>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开发服务】提供集成实施及定制化开发服务，根据实际的业务需求和目标，设计定制化的解决方案。包括确定所需的功能、界面设计、系统架构等。在开发完成后进行全面的测试和质量保证工作，以确保定制化软件的稳定性和功能完整性，并提供长期的技术支持和维护服务，以确保定制化软件持续运行和满足实际的需求。</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1项</w:t>
            </w:r>
          </w:p>
        </w:tc>
      </w:tr>
    </w:tbl>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7" w:firstLine="640"/>
        <w:outlineLvl w:val="1"/>
        <w:rPr>
          <w:rFonts w:ascii="仿宋" w:hAnsi="仿宋" w:eastAsia="仿宋" w:cs="仿宋"/>
          <w:snapToGrid/>
          <w:color w:val="auto"/>
          <w:kern w:val="2"/>
          <w:sz w:val="32"/>
          <w:szCs w:val="32"/>
          <w:highlight w:val="none"/>
          <w:lang w:eastAsia="zh-CN"/>
        </w:rPr>
      </w:pPr>
      <w:r>
        <w:rPr>
          <w:rFonts w:ascii="仿宋" w:hAnsi="仿宋" w:eastAsia="仿宋" w:cs="仿宋"/>
          <w:snapToGrid/>
          <w:color w:val="auto"/>
          <w:kern w:val="2"/>
          <w:sz w:val="32"/>
          <w:szCs w:val="32"/>
          <w:highlight w:val="none"/>
          <w:lang w:eastAsia="zh-CN"/>
        </w:rPr>
        <w:t xml:space="preserve">4. </w:t>
      </w:r>
      <w:r>
        <w:rPr>
          <w:rFonts w:hint="eastAsia" w:ascii="仿宋" w:hAnsi="仿宋" w:eastAsia="仿宋" w:cs="仿宋"/>
          <w:snapToGrid/>
          <w:color w:val="auto"/>
          <w:kern w:val="2"/>
          <w:sz w:val="32"/>
          <w:szCs w:val="32"/>
          <w:highlight w:val="none"/>
          <w:lang w:eastAsia="zh-CN"/>
        </w:rPr>
        <w:t>最高</w:t>
      </w:r>
      <w:r>
        <w:rPr>
          <w:rFonts w:hint="eastAsia" w:ascii="仿宋" w:hAnsi="仿宋" w:eastAsia="仿宋" w:cs="仿宋"/>
          <w:snapToGrid/>
          <w:color w:val="auto"/>
          <w:kern w:val="2"/>
          <w:sz w:val="32"/>
          <w:szCs w:val="32"/>
          <w:highlight w:val="none"/>
          <w:lang w:val="en-US" w:eastAsia="zh-CN"/>
        </w:rPr>
        <w:t>限</w:t>
      </w:r>
      <w:r>
        <w:rPr>
          <w:rFonts w:hint="eastAsia" w:ascii="仿宋" w:hAnsi="仿宋" w:eastAsia="仿宋" w:cs="仿宋"/>
          <w:snapToGrid/>
          <w:color w:val="auto"/>
          <w:kern w:val="2"/>
          <w:sz w:val="32"/>
          <w:szCs w:val="32"/>
          <w:highlight w:val="none"/>
          <w:lang w:eastAsia="zh-CN"/>
        </w:rPr>
        <w:t>价：</w:t>
      </w:r>
      <w:r>
        <w:rPr>
          <w:rFonts w:hint="eastAsia" w:ascii="仿宋" w:hAnsi="仿宋" w:eastAsia="仿宋" w:cs="仿宋"/>
          <w:snapToGrid/>
          <w:color w:val="auto"/>
          <w:kern w:val="2"/>
          <w:sz w:val="32"/>
          <w:szCs w:val="32"/>
          <w:highlight w:val="none"/>
          <w:lang w:val="en-US" w:eastAsia="zh-CN"/>
        </w:rPr>
        <w:t>48</w:t>
      </w:r>
      <w:r>
        <w:rPr>
          <w:rFonts w:hint="eastAsia" w:ascii="仿宋" w:hAnsi="仿宋" w:eastAsia="仿宋" w:cs="仿宋"/>
          <w:snapToGrid/>
          <w:color w:val="auto"/>
          <w:kern w:val="2"/>
          <w:sz w:val="32"/>
          <w:szCs w:val="32"/>
          <w:highlight w:val="none"/>
          <w:lang w:eastAsia="zh-CN"/>
        </w:rPr>
        <w:t>万人民币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参与本项目前三年内，无行贿犯罪记录，在经营活动中没有重大违法记录，不存在处于被相关主管部门处以禁止参与政府采购活动期限内的情形</w:t>
      </w:r>
      <w:r>
        <w:rPr>
          <w:rFonts w:hint="eastAsia" w:ascii="仿宋" w:hAnsi="仿宋" w:eastAsia="仿宋" w:cs="仿宋"/>
          <w:snapToGrid/>
          <w:kern w:val="2"/>
          <w:sz w:val="32"/>
          <w:szCs w:val="32"/>
          <w:lang w:eastAsia="zh-CN"/>
        </w:rPr>
        <w:t>；</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应为提供服务原厂商（提供服务原厂商因注册经营范围或内部管理体制的限制不能独立投标的，可指定符合投标人资质要求的代理商作为投标人，且代理商应获取提供服务原厂商的授权函，在此情况下，投标代理商只能选取唯一一家原厂品牌进行投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投标人</w:t>
      </w:r>
      <w:r>
        <w:rPr>
          <w:rFonts w:hint="eastAsia" w:ascii="仿宋" w:hAnsi="仿宋" w:eastAsia="仿宋" w:cs="仿宋"/>
          <w:snapToGrid/>
          <w:kern w:val="2"/>
          <w:sz w:val="32"/>
          <w:szCs w:val="32"/>
          <w:lang w:eastAsia="zh-CN"/>
        </w:rPr>
        <w:t>须提供两个以上（含两个）信息安全行业标准的证书，同一种证书不同等级只算一个，包括但不限于ISO27001、ISO</w:t>
      </w:r>
      <w:r>
        <w:rPr>
          <w:rFonts w:hint="eastAsia" w:ascii="仿宋" w:hAnsi="仿宋" w:eastAsia="仿宋" w:cs="仿宋"/>
          <w:snapToGrid/>
          <w:kern w:val="2"/>
          <w:sz w:val="32"/>
          <w:szCs w:val="32"/>
          <w:lang w:val="en-US" w:eastAsia="zh-CN"/>
        </w:rPr>
        <w:t xml:space="preserve"> </w:t>
      </w:r>
      <w:r>
        <w:rPr>
          <w:rFonts w:hint="eastAsia" w:ascii="仿宋" w:hAnsi="仿宋" w:eastAsia="仿宋" w:cs="仿宋"/>
          <w:snapToGrid/>
          <w:kern w:val="2"/>
          <w:sz w:val="32"/>
          <w:szCs w:val="32"/>
          <w:lang w:eastAsia="zh-CN"/>
        </w:rPr>
        <w:t>27701、ISO27018、CCRC、等保。</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(北京时间202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6</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20</w:t>
      </w:r>
      <w:r>
        <w:rPr>
          <w:rFonts w:hint="eastAsia" w:ascii="仿宋" w:hAnsi="仿宋" w:eastAsia="仿宋" w:cs="仿宋"/>
          <w:snapToGrid/>
          <w:kern w:val="2"/>
          <w:sz w:val="32"/>
          <w:szCs w:val="32"/>
          <w:highlight w:val="none"/>
          <w:lang w:eastAsia="zh-CN"/>
        </w:rPr>
        <w:t>日9:00至202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6</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26</w:t>
      </w:r>
      <w:r>
        <w:rPr>
          <w:rFonts w:hint="eastAsia" w:ascii="仿宋" w:hAnsi="仿宋" w:eastAsia="仿宋" w:cs="仿宋"/>
          <w:snapToGrid/>
          <w:kern w:val="2"/>
          <w:sz w:val="32"/>
          <w:szCs w:val="32"/>
          <w:highlight w:val="none"/>
          <w:lang w:eastAsia="zh-CN"/>
        </w:rPr>
        <w:t>日18:00)</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六、 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提问截止时间为北京时间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7</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w:t>
      </w:r>
      <w:r>
        <w:rPr>
          <w:rFonts w:hint="eastAsia" w:ascii="仿宋" w:hAnsi="仿宋" w:eastAsia="仿宋" w:cs="仿宋"/>
          <w:snapToGrid/>
          <w:kern w:val="2"/>
          <w:sz w:val="32"/>
          <w:szCs w:val="32"/>
          <w:highlight w:val="none"/>
          <w:lang w:eastAsia="zh-CN"/>
        </w:rPr>
        <w:t xml:space="preserve"> 日</w:t>
      </w:r>
      <w:bookmarkStart w:id="2" w:name="OLE_LINK3"/>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w:t>
      </w:r>
      <w:bookmarkEnd w:id="2"/>
      <w:r>
        <w:rPr>
          <w:rFonts w:hint="eastAsia" w:ascii="仿宋" w:hAnsi="仿宋" w:eastAsia="仿宋" w:cs="仿宋"/>
          <w:snapToGrid/>
          <w:kern w:val="2"/>
          <w:sz w:val="32"/>
          <w:szCs w:val="32"/>
          <w:highlight w:val="none"/>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答复截止时间为北京时间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7</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 xml:space="preserve"> 日</w:t>
      </w:r>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:00，通过邮件统一回复。</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投标截至时间：北京时间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7</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10</w:t>
      </w:r>
      <w:r>
        <w:rPr>
          <w:rFonts w:hint="eastAsia" w:ascii="仿宋" w:hAnsi="仿宋" w:eastAsia="仿宋" w:cs="仿宋"/>
          <w:snapToGrid/>
          <w:kern w:val="2"/>
          <w:sz w:val="32"/>
          <w:szCs w:val="32"/>
          <w:highlight w:val="none"/>
          <w:lang w:eastAsia="zh-CN"/>
        </w:rPr>
        <w:t xml:space="preserve"> 日</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59</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 xml:space="preserve">开 标 时 间: </w:t>
      </w:r>
      <w:r>
        <w:rPr>
          <w:rFonts w:ascii="仿宋" w:hAnsi="仿宋" w:eastAsia="仿宋" w:cs="仿宋"/>
          <w:snapToGrid/>
          <w:kern w:val="2"/>
          <w:sz w:val="32"/>
          <w:szCs w:val="32"/>
          <w:highlight w:val="none"/>
          <w:lang w:eastAsia="zh-CN"/>
        </w:rPr>
        <w:t xml:space="preserve"> </w:t>
      </w:r>
      <w:r>
        <w:rPr>
          <w:rFonts w:hint="eastAsia" w:ascii="仿宋" w:hAnsi="仿宋" w:eastAsia="仿宋" w:cs="仿宋"/>
          <w:snapToGrid/>
          <w:kern w:val="2"/>
          <w:sz w:val="32"/>
          <w:szCs w:val="32"/>
          <w:highlight w:val="none"/>
          <w:lang w:eastAsia="zh-CN"/>
        </w:rPr>
        <w:t>北京时间 202</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7</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10</w:t>
      </w:r>
      <w:r>
        <w:rPr>
          <w:rFonts w:hint="eastAsia" w:ascii="仿宋" w:hAnsi="仿宋" w:eastAsia="仿宋" w:cs="仿宋"/>
          <w:snapToGrid/>
          <w:kern w:val="2"/>
          <w:sz w:val="32"/>
          <w:szCs w:val="32"/>
          <w:highlight w:val="none"/>
          <w:lang w:eastAsia="zh-CN"/>
        </w:rPr>
        <w:t xml:space="preserve"> 日</w:t>
      </w:r>
      <w:r>
        <w:rPr>
          <w:rFonts w:ascii="仿宋" w:hAnsi="仿宋" w:eastAsia="仿宋" w:cs="仿宋"/>
          <w:snapToGrid/>
          <w:kern w:val="2"/>
          <w:sz w:val="32"/>
          <w:szCs w:val="32"/>
          <w:highlight w:val="none"/>
          <w:lang w:eastAsia="zh-CN"/>
        </w:rPr>
        <w:t>10</w:t>
      </w:r>
      <w:r>
        <w:rPr>
          <w:rFonts w:hint="eastAsia" w:ascii="仿宋" w:hAnsi="仿宋" w:eastAsia="仿宋" w:cs="仿宋"/>
          <w:snapToGrid/>
          <w:kern w:val="2"/>
          <w:sz w:val="32"/>
          <w:szCs w:val="32"/>
          <w:highlight w:val="none"/>
          <w:lang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联 系 人： </w:t>
      </w:r>
      <w:r>
        <w:rPr>
          <w:rFonts w:hint="eastAsia" w:ascii="仿宋" w:hAnsi="仿宋" w:eastAsia="仿宋" w:cs="仿宋"/>
          <w:snapToGrid/>
          <w:kern w:val="2"/>
          <w:sz w:val="32"/>
          <w:szCs w:val="32"/>
          <w:lang w:val="en-US" w:eastAsia="zh-CN"/>
        </w:rPr>
        <w:t>杨帅</w:t>
      </w:r>
    </w:p>
    <w:p>
      <w:pPr>
        <w:pStyle w:val="3"/>
        <w:spacing w:before="68" w:line="560" w:lineRule="exact"/>
        <w:ind w:right="7" w:firstLine="640" w:firstLineChars="200"/>
        <w:outlineLvl w:val="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-36838302</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邮    箱： </w:t>
      </w:r>
      <w:r>
        <w:rPr>
          <w:rFonts w:hint="eastAsia" w:ascii="仿宋" w:hAnsi="仿宋" w:eastAsia="仿宋" w:cs="仿宋"/>
          <w:snapToGrid/>
          <w:kern w:val="2"/>
          <w:sz w:val="32"/>
          <w:szCs w:val="32"/>
          <w:lang w:val="en-US" w:eastAsia="zh-CN"/>
        </w:rPr>
        <w:t>yangshuai</w:t>
      </w:r>
      <w:r>
        <w:rPr>
          <w:rFonts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地    址： 广东省深圳市福田区福田路24号海岸环庆大厦</w:t>
      </w:r>
      <w:r>
        <w:rPr>
          <w:rFonts w:hint="eastAsia" w:ascii="仿宋" w:hAnsi="仿宋" w:eastAsia="仿宋" w:cs="仿宋"/>
          <w:snapToGrid/>
          <w:kern w:val="2"/>
          <w:sz w:val="32"/>
          <w:szCs w:val="32"/>
          <w:lang w:val="en-US" w:eastAsia="zh-CN"/>
        </w:rPr>
        <w:t>35楼</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xYzY5ZmNjZDY5NjlmYjNmNzI2ZmM5MTVlMjlhNzQifQ=="/>
  </w:docVars>
  <w:rsids>
    <w:rsidRoot w:val="009B790D"/>
    <w:rsid w:val="00044B1C"/>
    <w:rsid w:val="000461CA"/>
    <w:rsid w:val="000721DE"/>
    <w:rsid w:val="00076567"/>
    <w:rsid w:val="000C3238"/>
    <w:rsid w:val="001277E0"/>
    <w:rsid w:val="001840BA"/>
    <w:rsid w:val="001842B9"/>
    <w:rsid w:val="001D4851"/>
    <w:rsid w:val="00210D52"/>
    <w:rsid w:val="00255845"/>
    <w:rsid w:val="00272AC2"/>
    <w:rsid w:val="002A6947"/>
    <w:rsid w:val="002D4440"/>
    <w:rsid w:val="002F4A61"/>
    <w:rsid w:val="00333D7B"/>
    <w:rsid w:val="003779CE"/>
    <w:rsid w:val="004311F8"/>
    <w:rsid w:val="004A1A5C"/>
    <w:rsid w:val="004B0144"/>
    <w:rsid w:val="004C3C08"/>
    <w:rsid w:val="0052711F"/>
    <w:rsid w:val="0055246C"/>
    <w:rsid w:val="005C6C63"/>
    <w:rsid w:val="005F7643"/>
    <w:rsid w:val="00676AB5"/>
    <w:rsid w:val="006B75E1"/>
    <w:rsid w:val="00702DDC"/>
    <w:rsid w:val="0076019D"/>
    <w:rsid w:val="00786E21"/>
    <w:rsid w:val="007A4BFC"/>
    <w:rsid w:val="00800258"/>
    <w:rsid w:val="008321AD"/>
    <w:rsid w:val="008340C6"/>
    <w:rsid w:val="00881FCA"/>
    <w:rsid w:val="008C5F7A"/>
    <w:rsid w:val="008C7034"/>
    <w:rsid w:val="00925319"/>
    <w:rsid w:val="009B790D"/>
    <w:rsid w:val="009E2B12"/>
    <w:rsid w:val="00A408D6"/>
    <w:rsid w:val="00A61E98"/>
    <w:rsid w:val="00AD4B33"/>
    <w:rsid w:val="00AF4B78"/>
    <w:rsid w:val="00B27E46"/>
    <w:rsid w:val="00B44A49"/>
    <w:rsid w:val="00BE6E26"/>
    <w:rsid w:val="00C4787F"/>
    <w:rsid w:val="00C904D5"/>
    <w:rsid w:val="00CC576D"/>
    <w:rsid w:val="00D02256"/>
    <w:rsid w:val="00D11780"/>
    <w:rsid w:val="00D36431"/>
    <w:rsid w:val="00D84B91"/>
    <w:rsid w:val="00DA3D81"/>
    <w:rsid w:val="00DC0F06"/>
    <w:rsid w:val="00DC20DA"/>
    <w:rsid w:val="00E03D35"/>
    <w:rsid w:val="00E578B5"/>
    <w:rsid w:val="00E9317C"/>
    <w:rsid w:val="00F525B8"/>
    <w:rsid w:val="00F57792"/>
    <w:rsid w:val="00FA2208"/>
    <w:rsid w:val="00FD3527"/>
    <w:rsid w:val="039D3DD9"/>
    <w:rsid w:val="04510321"/>
    <w:rsid w:val="0DD84858"/>
    <w:rsid w:val="0E935446"/>
    <w:rsid w:val="1B6F742D"/>
    <w:rsid w:val="1D8A0960"/>
    <w:rsid w:val="27075DFC"/>
    <w:rsid w:val="27D976E5"/>
    <w:rsid w:val="30580017"/>
    <w:rsid w:val="31BB0737"/>
    <w:rsid w:val="34912307"/>
    <w:rsid w:val="34F328A6"/>
    <w:rsid w:val="3AF464B5"/>
    <w:rsid w:val="3CC852FA"/>
    <w:rsid w:val="3DB23BD7"/>
    <w:rsid w:val="4C1D655E"/>
    <w:rsid w:val="4F1B7938"/>
    <w:rsid w:val="54B86419"/>
    <w:rsid w:val="570C72AA"/>
    <w:rsid w:val="59FF0180"/>
    <w:rsid w:val="5D2824F2"/>
    <w:rsid w:val="5EE92175"/>
    <w:rsid w:val="62454EAB"/>
    <w:rsid w:val="64AB6B78"/>
    <w:rsid w:val="73AE5C8F"/>
    <w:rsid w:val="752C7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20"/>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9"/>
    <w:qFormat/>
    <w:uiPriority w:val="0"/>
    <w:rPr>
      <w:sz w:val="18"/>
      <w:szCs w:val="18"/>
    </w:rPr>
  </w:style>
  <w:style w:type="paragraph" w:styleId="6">
    <w:name w:val="footer"/>
    <w:basedOn w:val="1"/>
    <w:link w:val="16"/>
    <w:qFormat/>
    <w:uiPriority w:val="0"/>
    <w:pPr>
      <w:tabs>
        <w:tab w:val="center" w:pos="4153"/>
        <w:tab w:val="right" w:pos="8306"/>
      </w:tabs>
    </w:pPr>
    <w:rPr>
      <w:sz w:val="18"/>
      <w:szCs w:val="18"/>
    </w:rPr>
  </w:style>
  <w:style w:type="paragraph" w:styleId="7">
    <w:name w:val="header"/>
    <w:basedOn w:val="1"/>
    <w:link w:val="15"/>
    <w:qFormat/>
    <w:uiPriority w:val="0"/>
    <w:pPr>
      <w:tabs>
        <w:tab w:val="center" w:pos="4153"/>
        <w:tab w:val="right" w:pos="8306"/>
      </w:tabs>
      <w:jc w:val="center"/>
    </w:pPr>
    <w:rPr>
      <w:sz w:val="18"/>
      <w:szCs w:val="18"/>
    </w:rPr>
  </w:style>
  <w:style w:type="paragraph" w:styleId="8">
    <w:name w:val="annotation subject"/>
    <w:basedOn w:val="2"/>
    <w:next w:val="2"/>
    <w:link w:val="18"/>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页眉 字符"/>
    <w:basedOn w:val="11"/>
    <w:link w:val="7"/>
    <w:qFormat/>
    <w:uiPriority w:val="0"/>
    <w:rPr>
      <w:rFonts w:ascii="Arial" w:hAnsi="Arial" w:eastAsia="Arial" w:cs="Arial"/>
      <w:snapToGrid w:val="0"/>
      <w:color w:val="000000"/>
      <w:sz w:val="18"/>
      <w:szCs w:val="18"/>
      <w:lang w:eastAsia="en-US"/>
    </w:rPr>
  </w:style>
  <w:style w:type="character" w:customStyle="1" w:styleId="16">
    <w:name w:val="页脚 字符"/>
    <w:basedOn w:val="11"/>
    <w:link w:val="6"/>
    <w:qFormat/>
    <w:uiPriority w:val="0"/>
    <w:rPr>
      <w:rFonts w:ascii="Arial" w:hAnsi="Arial" w:eastAsia="Arial" w:cs="Arial"/>
      <w:snapToGrid w:val="0"/>
      <w:color w:val="000000"/>
      <w:sz w:val="18"/>
      <w:szCs w:val="18"/>
      <w:lang w:eastAsia="en-US"/>
    </w:rPr>
  </w:style>
  <w:style w:type="character" w:customStyle="1" w:styleId="17">
    <w:name w:val="批注文字 字符"/>
    <w:basedOn w:val="11"/>
    <w:link w:val="2"/>
    <w:qFormat/>
    <w:uiPriority w:val="0"/>
    <w:rPr>
      <w:rFonts w:ascii="Arial" w:hAnsi="Arial" w:eastAsia="Arial" w:cs="Arial"/>
      <w:snapToGrid w:val="0"/>
      <w:color w:val="000000"/>
      <w:sz w:val="21"/>
      <w:szCs w:val="21"/>
      <w:lang w:eastAsia="en-US"/>
    </w:rPr>
  </w:style>
  <w:style w:type="character" w:customStyle="1" w:styleId="18">
    <w:name w:val="批注主题 字符"/>
    <w:basedOn w:val="17"/>
    <w:link w:val="8"/>
    <w:qFormat/>
    <w:uiPriority w:val="0"/>
    <w:rPr>
      <w:rFonts w:ascii="Arial" w:hAnsi="Arial" w:eastAsia="Arial" w:cs="Arial"/>
      <w:b/>
      <w:bCs/>
      <w:snapToGrid w:val="0"/>
      <w:color w:val="000000"/>
      <w:sz w:val="21"/>
      <w:szCs w:val="21"/>
      <w:lang w:eastAsia="en-US"/>
    </w:rPr>
  </w:style>
  <w:style w:type="character" w:customStyle="1" w:styleId="19">
    <w:name w:val="批注框文本 字符"/>
    <w:basedOn w:val="11"/>
    <w:link w:val="5"/>
    <w:qFormat/>
    <w:uiPriority w:val="0"/>
    <w:rPr>
      <w:rFonts w:ascii="Arial" w:hAnsi="Arial" w:eastAsia="Arial" w:cs="Arial"/>
      <w:snapToGrid w:val="0"/>
      <w:color w:val="000000"/>
      <w:sz w:val="18"/>
      <w:szCs w:val="18"/>
      <w:lang w:eastAsia="en-US"/>
    </w:rPr>
  </w:style>
  <w:style w:type="character" w:customStyle="1" w:styleId="20">
    <w:name w:val="纯文本 字符"/>
    <w:basedOn w:val="11"/>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4C547-3028-4A36-8ADE-10A0690F9EFF}">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1177</Words>
  <Characters>1319</Characters>
  <Lines>10</Lines>
  <Paragraphs>2</Paragraphs>
  <TotalTime>46</TotalTime>
  <ScaleCrop>false</ScaleCrop>
  <LinksUpToDate>false</LinksUpToDate>
  <CharactersWithSpaces>1374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yangshuai</cp:lastModifiedBy>
  <dcterms:modified xsi:type="dcterms:W3CDTF">2024-06-17T06:32:09Z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