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0" w:after="0"/>
        <w:ind w:firstLine="480"/>
        <w:jc w:val="center"/>
        <w:rPr>
          <w:rFonts w:hint="default" w:hAnsi="宋体"/>
          <w:color w:val="000000"/>
          <w:sz w:val="36"/>
          <w:szCs w:val="36"/>
        </w:rPr>
      </w:pPr>
      <w:bookmarkStart w:id="0" w:name="_Toc316030251"/>
      <w:bookmarkStart w:id="1" w:name="_Toc316824950"/>
      <w:bookmarkStart w:id="2" w:name="_Toc316824376"/>
      <w:bookmarkStart w:id="3" w:name="_Toc316825129"/>
      <w:bookmarkStart w:id="4" w:name="_Toc316030257"/>
      <w:bookmarkStart w:id="5" w:name="_Toc316030272"/>
      <w:r>
        <w:rPr>
          <w:rFonts w:hAnsi="宋体"/>
        </w:rPr>
        <w:tab/>
      </w:r>
    </w:p>
    <w:p>
      <w:pPr>
        <w:snapToGrid w:val="0"/>
        <w:spacing w:before="0" w:after="0"/>
        <w:ind w:firstLine="0" w:firstLineChars="0"/>
        <w:jc w:val="center"/>
        <w:rPr>
          <w:rFonts w:hint="default" w:hAnsi="宋体" w:cs="Arial"/>
          <w:b/>
          <w:color w:val="000000"/>
          <w:sz w:val="44"/>
          <w:szCs w:val="44"/>
        </w:rPr>
      </w:pPr>
    </w:p>
    <w:p>
      <w:pPr>
        <w:snapToGrid w:val="0"/>
        <w:spacing w:before="0" w:after="0"/>
        <w:ind w:firstLine="0" w:firstLineChars="0"/>
        <w:jc w:val="center"/>
        <w:rPr>
          <w:rFonts w:hint="default" w:hAnsi="宋体" w:cs="Arial"/>
          <w:b/>
          <w:color w:val="000000"/>
          <w:sz w:val="44"/>
          <w:szCs w:val="44"/>
        </w:rPr>
      </w:pPr>
      <w:r>
        <w:rPr>
          <w:rFonts w:hAnsi="宋体" w:cs="Arial"/>
          <w:b/>
          <w:color w:val="000000"/>
          <w:sz w:val="44"/>
          <w:szCs w:val="44"/>
        </w:rPr>
        <w:t>中国人寿保险（海外）股份有限公司</w:t>
      </w:r>
    </w:p>
    <w:p>
      <w:pPr>
        <w:snapToGrid w:val="0"/>
        <w:spacing w:before="0" w:after="0"/>
        <w:ind w:firstLine="0" w:firstLineChars="0"/>
        <w:jc w:val="center"/>
        <w:rPr>
          <w:rFonts w:hint="default" w:hAnsi="宋体" w:cs="Arial"/>
          <w:b/>
          <w:color w:val="000000"/>
          <w:sz w:val="44"/>
          <w:szCs w:val="44"/>
        </w:rPr>
      </w:pPr>
      <w:r>
        <w:rPr>
          <w:rFonts w:hint="eastAsia" w:hAnsi="宋体" w:cs="Arial"/>
          <w:b/>
          <w:color w:val="000000"/>
          <w:sz w:val="44"/>
          <w:szCs w:val="44"/>
          <w:lang w:val="en-US" w:eastAsia="zh-CN"/>
        </w:rPr>
        <w:t>RPA业务流程维护及改造</w:t>
      </w:r>
      <w:r>
        <w:rPr>
          <w:rFonts w:hAnsi="宋体" w:cs="Arial"/>
          <w:b/>
          <w:color w:val="000000"/>
          <w:sz w:val="44"/>
          <w:szCs w:val="44"/>
        </w:rPr>
        <w:t>项目</w:t>
      </w:r>
    </w:p>
    <w:p>
      <w:pPr>
        <w:snapToGrid w:val="0"/>
        <w:spacing w:before="0" w:after="0"/>
        <w:ind w:firstLine="0" w:firstLineChars="0"/>
        <w:jc w:val="center"/>
        <w:rPr>
          <w:rFonts w:hint="default" w:hAnsi="宋体" w:cs="Arial"/>
          <w:b/>
          <w:color w:val="000000"/>
          <w:sz w:val="44"/>
          <w:szCs w:val="44"/>
        </w:rPr>
      </w:pPr>
      <w:r>
        <w:rPr>
          <w:rFonts w:hAnsi="宋体" w:cs="Arial"/>
          <w:b/>
          <w:color w:val="000000"/>
          <w:sz w:val="44"/>
          <w:szCs w:val="44"/>
        </w:rPr>
        <w:t>招标清单及技术指标</w:t>
      </w:r>
    </w:p>
    <w:p>
      <w:pPr>
        <w:snapToGrid w:val="0"/>
        <w:spacing w:before="0" w:after="0"/>
        <w:ind w:firstLine="0" w:firstLineChars="0"/>
        <w:rPr>
          <w:rFonts w:hint="default" w:hAnsi="宋体" w:cs="Arial"/>
          <w:b/>
          <w:color w:val="000000"/>
          <w:sz w:val="52"/>
          <w:szCs w:val="52"/>
        </w:rPr>
      </w:pPr>
    </w:p>
    <w:p>
      <w:pPr>
        <w:snapToGrid w:val="0"/>
        <w:spacing w:before="0" w:after="0"/>
        <w:ind w:firstLine="0" w:firstLineChars="0"/>
        <w:jc w:val="center"/>
        <w:rPr>
          <w:rFonts w:hint="default" w:hAnsi="宋体" w:cs="Arial"/>
          <w:b/>
          <w:color w:val="000000"/>
          <w:sz w:val="52"/>
          <w:szCs w:val="52"/>
        </w:rPr>
      </w:pPr>
    </w:p>
    <w:p>
      <w:pPr>
        <w:pStyle w:val="29"/>
        <w:tabs>
          <w:tab w:val="clear" w:pos="0"/>
        </w:tabs>
        <w:spacing w:before="0" w:after="0" w:line="360" w:lineRule="auto"/>
        <w:rPr>
          <w:rFonts w:hint="default" w:ascii="宋体" w:hAnsi="宋体" w:eastAsia="宋体" w:cs="Arial"/>
          <w:sz w:val="21"/>
          <w:szCs w:val="21"/>
          <w:lang w:eastAsia="zh-CN"/>
        </w:rPr>
      </w:pPr>
    </w:p>
    <w:p>
      <w:pPr>
        <w:pStyle w:val="29"/>
        <w:tabs>
          <w:tab w:val="clear" w:pos="0"/>
        </w:tabs>
        <w:spacing w:before="0" w:after="0" w:line="360" w:lineRule="auto"/>
        <w:rPr>
          <w:rFonts w:hint="default" w:ascii="宋体" w:hAnsi="宋体" w:eastAsia="宋体" w:cs="Arial"/>
          <w:sz w:val="21"/>
          <w:szCs w:val="21"/>
          <w:lang w:eastAsia="zh-CN"/>
        </w:rPr>
      </w:pPr>
    </w:p>
    <w:p>
      <w:pPr>
        <w:pStyle w:val="29"/>
        <w:tabs>
          <w:tab w:val="clear" w:pos="0"/>
        </w:tabs>
        <w:spacing w:before="0" w:after="0" w:line="360" w:lineRule="auto"/>
        <w:rPr>
          <w:rFonts w:hint="default" w:ascii="宋体" w:hAnsi="宋体" w:eastAsia="宋体" w:cs="Arial"/>
          <w:sz w:val="21"/>
          <w:szCs w:val="21"/>
          <w:lang w:eastAsia="zh-CN"/>
        </w:rPr>
      </w:pPr>
    </w:p>
    <w:p>
      <w:pPr>
        <w:pStyle w:val="29"/>
        <w:tabs>
          <w:tab w:val="clear" w:pos="0"/>
        </w:tabs>
        <w:spacing w:before="0" w:after="0" w:line="360" w:lineRule="auto"/>
        <w:rPr>
          <w:rFonts w:hint="default" w:ascii="宋体" w:hAnsi="宋体" w:eastAsia="宋体" w:cs="Arial"/>
          <w:sz w:val="21"/>
          <w:szCs w:val="21"/>
          <w:lang w:eastAsia="zh-CN"/>
        </w:rPr>
      </w:pPr>
    </w:p>
    <w:p>
      <w:pPr>
        <w:pStyle w:val="29"/>
        <w:tabs>
          <w:tab w:val="clear" w:pos="0"/>
        </w:tabs>
        <w:spacing w:before="0" w:after="0" w:line="360" w:lineRule="auto"/>
        <w:rPr>
          <w:rFonts w:hint="default" w:ascii="宋体" w:hAnsi="宋体" w:eastAsia="宋体" w:cs="Arial"/>
          <w:sz w:val="21"/>
          <w:szCs w:val="21"/>
          <w:lang w:eastAsia="zh-CN"/>
        </w:rPr>
      </w:pPr>
    </w:p>
    <w:p>
      <w:pPr>
        <w:pStyle w:val="29"/>
        <w:tabs>
          <w:tab w:val="clear" w:pos="0"/>
        </w:tabs>
        <w:spacing w:before="0" w:after="0" w:line="360" w:lineRule="auto"/>
        <w:rPr>
          <w:rFonts w:hint="default" w:ascii="宋体" w:hAnsi="宋体" w:eastAsia="宋体" w:cs="Arial"/>
          <w:sz w:val="21"/>
          <w:szCs w:val="21"/>
          <w:lang w:eastAsia="zh-CN"/>
        </w:rPr>
      </w:pPr>
    </w:p>
    <w:p>
      <w:pPr>
        <w:pStyle w:val="29"/>
        <w:tabs>
          <w:tab w:val="clear" w:pos="0"/>
        </w:tabs>
        <w:spacing w:before="0" w:after="0" w:line="360" w:lineRule="auto"/>
        <w:rPr>
          <w:rFonts w:hint="default" w:ascii="宋体" w:hAnsi="宋体" w:eastAsia="宋体" w:cs="Arial"/>
          <w:sz w:val="21"/>
          <w:szCs w:val="21"/>
          <w:lang w:eastAsia="zh-CN"/>
        </w:rPr>
      </w:pPr>
    </w:p>
    <w:p>
      <w:pPr>
        <w:pStyle w:val="29"/>
        <w:tabs>
          <w:tab w:val="clear" w:pos="0"/>
        </w:tabs>
        <w:spacing w:before="0" w:after="0" w:line="360" w:lineRule="auto"/>
        <w:rPr>
          <w:rFonts w:hint="default" w:ascii="宋体" w:hAnsi="宋体" w:eastAsia="宋体" w:cs="Arial"/>
          <w:sz w:val="21"/>
          <w:szCs w:val="21"/>
          <w:lang w:eastAsia="zh-CN"/>
        </w:rPr>
      </w:pPr>
    </w:p>
    <w:p>
      <w:pPr>
        <w:pStyle w:val="29"/>
        <w:tabs>
          <w:tab w:val="clear" w:pos="0"/>
        </w:tabs>
        <w:spacing w:before="0" w:after="0" w:line="360" w:lineRule="auto"/>
        <w:rPr>
          <w:rFonts w:hint="default" w:ascii="宋体" w:hAnsi="宋体" w:eastAsia="宋体" w:cs="Arial"/>
          <w:sz w:val="21"/>
          <w:szCs w:val="21"/>
          <w:lang w:eastAsia="zh-CN"/>
        </w:rPr>
      </w:pPr>
    </w:p>
    <w:p>
      <w:pPr>
        <w:pStyle w:val="29"/>
        <w:tabs>
          <w:tab w:val="clear" w:pos="0"/>
        </w:tabs>
        <w:spacing w:before="0" w:after="0" w:line="360" w:lineRule="auto"/>
        <w:rPr>
          <w:rFonts w:hint="default" w:ascii="宋体" w:hAnsi="宋体" w:eastAsia="宋体" w:cs="Arial"/>
          <w:sz w:val="21"/>
          <w:szCs w:val="21"/>
          <w:lang w:eastAsia="zh-CN"/>
        </w:rPr>
      </w:pPr>
    </w:p>
    <w:p>
      <w:pPr>
        <w:pStyle w:val="29"/>
        <w:tabs>
          <w:tab w:val="clear" w:pos="0"/>
        </w:tabs>
        <w:spacing w:before="0" w:after="0" w:line="360" w:lineRule="auto"/>
        <w:rPr>
          <w:rFonts w:hint="default" w:ascii="宋体" w:hAnsi="宋体" w:eastAsia="宋体" w:cs="Arial"/>
          <w:sz w:val="21"/>
          <w:szCs w:val="21"/>
          <w:lang w:eastAsia="zh-CN"/>
        </w:rPr>
      </w:pPr>
    </w:p>
    <w:p>
      <w:pPr>
        <w:pStyle w:val="29"/>
        <w:tabs>
          <w:tab w:val="clear" w:pos="0"/>
        </w:tabs>
        <w:spacing w:before="0" w:after="0" w:line="360" w:lineRule="auto"/>
        <w:rPr>
          <w:rFonts w:hint="default" w:ascii="宋体" w:hAnsi="宋体" w:eastAsia="宋体" w:cs="Arial"/>
          <w:sz w:val="21"/>
          <w:szCs w:val="21"/>
          <w:lang w:eastAsia="zh-CN"/>
        </w:rPr>
      </w:pPr>
    </w:p>
    <w:p>
      <w:pPr>
        <w:snapToGrid w:val="0"/>
        <w:spacing w:before="0" w:after="0"/>
        <w:ind w:left="62" w:firstLine="181" w:firstLineChars="0"/>
        <w:jc w:val="center"/>
        <w:rPr>
          <w:rFonts w:hint="default" w:hAnsi="宋体" w:cs="Arial"/>
          <w:b/>
          <w:color w:val="000000"/>
        </w:rPr>
      </w:pPr>
      <w:r>
        <w:rPr>
          <w:rFonts w:hAnsi="宋体" w:cs="Arial"/>
          <w:b/>
          <w:color w:val="000000"/>
        </w:rPr>
        <w:t>2025年</w:t>
      </w:r>
      <w:r>
        <w:rPr>
          <w:rFonts w:hint="eastAsia" w:hAnsi="宋体" w:cs="Arial"/>
          <w:b/>
          <w:color w:val="000000"/>
          <w:lang w:val="en-US" w:eastAsia="zh-CN"/>
        </w:rPr>
        <w:t>9</w:t>
      </w:r>
      <w:r>
        <w:rPr>
          <w:rFonts w:hAnsi="宋体" w:cs="Arial"/>
          <w:b/>
          <w:color w:val="000000"/>
        </w:rPr>
        <w:t>月</w:t>
      </w:r>
    </w:p>
    <w:p>
      <w:pPr>
        <w:snapToGrid w:val="0"/>
        <w:spacing w:before="0" w:after="0"/>
        <w:ind w:firstLine="0" w:firstLineChars="0"/>
        <w:rPr>
          <w:rFonts w:hint="default" w:hAnsi="宋体" w:cs="Arial"/>
          <w:b/>
          <w:color w:val="000000"/>
        </w:rPr>
      </w:pPr>
    </w:p>
    <w:p>
      <w:pPr>
        <w:snapToGrid w:val="0"/>
        <w:spacing w:before="0" w:after="0"/>
        <w:ind w:firstLine="0" w:firstLineChars="0"/>
        <w:rPr>
          <w:rFonts w:hint="default" w:hAnsi="宋体" w:cs="Arial"/>
          <w:b/>
          <w:color w:val="000000"/>
        </w:rPr>
      </w:pPr>
    </w:p>
    <w:p>
      <w:pPr>
        <w:snapToGrid w:val="0"/>
        <w:spacing w:before="0" w:after="0"/>
        <w:ind w:firstLine="0" w:firstLineChars="0"/>
        <w:rPr>
          <w:rFonts w:hint="default" w:hAnsi="宋体" w:cs="Arial"/>
          <w:b/>
          <w:color w:val="000000"/>
        </w:rPr>
      </w:pPr>
    </w:p>
    <w:p>
      <w:pPr>
        <w:snapToGrid w:val="0"/>
        <w:spacing w:before="0" w:after="0"/>
        <w:ind w:firstLine="0" w:firstLineChars="0"/>
        <w:rPr>
          <w:rFonts w:hint="default" w:hAnsi="宋体" w:cs="Arial"/>
          <w:b/>
          <w:color w:val="000000"/>
          <w:sz w:val="44"/>
          <w:szCs w:val="44"/>
        </w:rPr>
      </w:pPr>
    </w:p>
    <w:p>
      <w:pPr>
        <w:snapToGrid w:val="0"/>
        <w:spacing w:before="0" w:after="0"/>
        <w:ind w:firstLine="883"/>
        <w:jc w:val="center"/>
        <w:rPr>
          <w:rFonts w:hint="default" w:hAnsi="宋体" w:cs="Arial"/>
          <w:b/>
          <w:color w:val="000000"/>
          <w:sz w:val="44"/>
          <w:szCs w:val="44"/>
        </w:rPr>
      </w:pPr>
      <w:r>
        <w:rPr>
          <w:rFonts w:hAnsi="宋体" w:cs="Arial"/>
          <w:b/>
          <w:color w:val="000000"/>
          <w:sz w:val="44"/>
          <w:szCs w:val="44"/>
        </w:rPr>
        <w:t>目          录</w:t>
      </w:r>
    </w:p>
    <w:p>
      <w:pPr>
        <w:pStyle w:val="16"/>
        <w:tabs>
          <w:tab w:val="right" w:leader="dot" w:pos="8306"/>
        </w:tabs>
        <w:ind w:firstLine="480"/>
        <w:rPr>
          <w:rFonts w:hint="default"/>
        </w:rPr>
      </w:pPr>
      <w:r>
        <w:fldChar w:fldCharType="begin"/>
      </w:r>
      <w:r>
        <w:instrText xml:space="preserve"> TOC \o "1-3" \h \z \u </w:instrText>
      </w:r>
      <w:r>
        <w:fldChar w:fldCharType="separate"/>
      </w:r>
      <w:r>
        <w:fldChar w:fldCharType="begin"/>
      </w:r>
      <w:r>
        <w:instrText xml:space="preserve"> HYPERLINK \l "_Toc14621" </w:instrText>
      </w:r>
      <w:r>
        <w:fldChar w:fldCharType="separate"/>
      </w:r>
      <w:r>
        <w:rPr>
          <w:rFonts w:hint="default"/>
        </w:rPr>
        <w:t xml:space="preserve">第一章 </w:t>
      </w:r>
      <w:r>
        <w:t>适用范围</w:t>
      </w:r>
      <w:r>
        <w:tab/>
      </w:r>
      <w:r>
        <w:fldChar w:fldCharType="begin"/>
      </w:r>
      <w:r>
        <w:instrText xml:space="preserve"> PAGEREF _Toc14621 \h </w:instrText>
      </w:r>
      <w:r>
        <w:fldChar w:fldCharType="separate"/>
      </w:r>
      <w:r>
        <w:t>4</w:t>
      </w:r>
      <w:r>
        <w:fldChar w:fldCharType="end"/>
      </w:r>
      <w:r>
        <w:fldChar w:fldCharType="end"/>
      </w:r>
    </w:p>
    <w:p>
      <w:pPr>
        <w:pStyle w:val="16"/>
        <w:tabs>
          <w:tab w:val="right" w:leader="dot" w:pos="8306"/>
        </w:tabs>
        <w:ind w:firstLine="480"/>
        <w:rPr>
          <w:rFonts w:hint="default"/>
        </w:rPr>
      </w:pPr>
      <w:r>
        <w:fldChar w:fldCharType="begin"/>
      </w:r>
      <w:r>
        <w:instrText xml:space="preserve"> HYPERLINK \l "_Toc14775" </w:instrText>
      </w:r>
      <w:r>
        <w:fldChar w:fldCharType="separate"/>
      </w:r>
      <w:r>
        <w:rPr>
          <w:rFonts w:hint="default"/>
        </w:rPr>
        <w:t xml:space="preserve">第二章 </w:t>
      </w:r>
      <w:r>
        <w:t>背景、目标及范围</w:t>
      </w:r>
      <w:r>
        <w:tab/>
      </w:r>
      <w:r>
        <w:fldChar w:fldCharType="begin"/>
      </w:r>
      <w:r>
        <w:instrText xml:space="preserve"> PAGEREF _Toc14775 \h </w:instrText>
      </w:r>
      <w:r>
        <w:fldChar w:fldCharType="separate"/>
      </w:r>
      <w:r>
        <w:t>5</w:t>
      </w:r>
      <w:r>
        <w:fldChar w:fldCharType="end"/>
      </w:r>
      <w:r>
        <w:fldChar w:fldCharType="end"/>
      </w:r>
    </w:p>
    <w:p>
      <w:pPr>
        <w:pStyle w:val="17"/>
        <w:tabs>
          <w:tab w:val="right" w:leader="dot" w:pos="8306"/>
        </w:tabs>
        <w:ind w:left="480" w:firstLine="480"/>
        <w:rPr>
          <w:rFonts w:hint="default"/>
        </w:rPr>
      </w:pPr>
      <w:r>
        <w:fldChar w:fldCharType="begin"/>
      </w:r>
      <w:r>
        <w:instrText xml:space="preserve"> HYPERLINK \l "_Toc13914" </w:instrText>
      </w:r>
      <w:r>
        <w:fldChar w:fldCharType="separate"/>
      </w:r>
      <w:r>
        <w:rPr>
          <w:rFonts w:hAnsi="宋体"/>
        </w:rPr>
        <w:t xml:space="preserve">2.1 </w:t>
      </w:r>
      <w:r>
        <w:t>项目背景</w:t>
      </w:r>
      <w:r>
        <w:tab/>
      </w:r>
      <w:r>
        <w:fldChar w:fldCharType="begin"/>
      </w:r>
      <w:r>
        <w:instrText xml:space="preserve"> PAGEREF _Toc13914 \h </w:instrText>
      </w:r>
      <w:r>
        <w:fldChar w:fldCharType="separate"/>
      </w:r>
      <w:r>
        <w:t>5</w:t>
      </w:r>
      <w:r>
        <w:fldChar w:fldCharType="end"/>
      </w:r>
      <w:r>
        <w:fldChar w:fldCharType="end"/>
      </w:r>
    </w:p>
    <w:p>
      <w:pPr>
        <w:pStyle w:val="17"/>
        <w:tabs>
          <w:tab w:val="right" w:leader="dot" w:pos="8306"/>
        </w:tabs>
        <w:ind w:left="480" w:firstLine="480"/>
        <w:rPr>
          <w:rFonts w:hint="default"/>
        </w:rPr>
      </w:pPr>
      <w:r>
        <w:fldChar w:fldCharType="begin"/>
      </w:r>
      <w:r>
        <w:instrText xml:space="preserve"> HYPERLINK \l "_Toc24776" </w:instrText>
      </w:r>
      <w:r>
        <w:fldChar w:fldCharType="separate"/>
      </w:r>
      <w:r>
        <w:rPr>
          <w:rFonts w:hAnsi="宋体"/>
        </w:rPr>
        <w:t xml:space="preserve">2.2 </w:t>
      </w:r>
      <w:r>
        <w:t>目标与范围</w:t>
      </w:r>
      <w:r>
        <w:tab/>
      </w:r>
      <w:r>
        <w:fldChar w:fldCharType="begin"/>
      </w:r>
      <w:r>
        <w:instrText xml:space="preserve"> PAGEREF _Toc24776 \h </w:instrText>
      </w:r>
      <w:r>
        <w:fldChar w:fldCharType="separate"/>
      </w:r>
      <w:r>
        <w:t>5</w:t>
      </w:r>
      <w:r>
        <w:fldChar w:fldCharType="end"/>
      </w:r>
      <w:r>
        <w:fldChar w:fldCharType="end"/>
      </w:r>
    </w:p>
    <w:p>
      <w:pPr>
        <w:pStyle w:val="12"/>
        <w:tabs>
          <w:tab w:val="right" w:leader="dot" w:pos="8306"/>
        </w:tabs>
        <w:ind w:left="960" w:firstLine="480"/>
        <w:rPr>
          <w:rFonts w:hint="default"/>
        </w:rPr>
      </w:pPr>
      <w:r>
        <w:fldChar w:fldCharType="begin"/>
      </w:r>
      <w:r>
        <w:instrText xml:space="preserve"> HYPERLINK \l "_Toc28010" </w:instrText>
      </w:r>
      <w:r>
        <w:fldChar w:fldCharType="separate"/>
      </w:r>
      <w:r>
        <w:rPr>
          <w:rFonts w:hint="default"/>
        </w:rPr>
        <w:t xml:space="preserve">2.2.1 </w:t>
      </w:r>
      <w:r>
        <w:t>总体目标</w:t>
      </w:r>
      <w:r>
        <w:tab/>
      </w:r>
      <w:r>
        <w:fldChar w:fldCharType="begin"/>
      </w:r>
      <w:r>
        <w:instrText xml:space="preserve"> PAGEREF _Toc28010 \h </w:instrText>
      </w:r>
      <w:r>
        <w:fldChar w:fldCharType="separate"/>
      </w:r>
      <w:r>
        <w:t>5</w:t>
      </w:r>
      <w:r>
        <w:fldChar w:fldCharType="end"/>
      </w:r>
      <w:r>
        <w:fldChar w:fldCharType="end"/>
      </w:r>
    </w:p>
    <w:p>
      <w:pPr>
        <w:pStyle w:val="12"/>
        <w:tabs>
          <w:tab w:val="right" w:leader="dot" w:pos="8306"/>
        </w:tabs>
        <w:ind w:left="960" w:firstLine="480"/>
        <w:rPr>
          <w:rFonts w:hint="default"/>
        </w:rPr>
      </w:pPr>
      <w:r>
        <w:fldChar w:fldCharType="begin"/>
      </w:r>
      <w:r>
        <w:instrText xml:space="preserve"> HYPERLINK \l "_Toc7406" </w:instrText>
      </w:r>
      <w:r>
        <w:fldChar w:fldCharType="separate"/>
      </w:r>
      <w:r>
        <w:rPr>
          <w:rFonts w:hint="default" w:hAnsi="宋体" w:cs="宋体"/>
          <w:kern w:val="0"/>
        </w:rPr>
        <w:t xml:space="preserve">2.2.2 </w:t>
      </w:r>
      <w:r>
        <w:t>项目范围</w:t>
      </w:r>
      <w:r>
        <w:tab/>
      </w:r>
      <w:r>
        <w:fldChar w:fldCharType="begin"/>
      </w:r>
      <w:r>
        <w:instrText xml:space="preserve"> PAGEREF _Toc7406 \h </w:instrText>
      </w:r>
      <w:r>
        <w:fldChar w:fldCharType="separate"/>
      </w:r>
      <w:r>
        <w:t>5</w:t>
      </w:r>
      <w:r>
        <w:fldChar w:fldCharType="end"/>
      </w:r>
      <w:r>
        <w:fldChar w:fldCharType="end"/>
      </w:r>
    </w:p>
    <w:p>
      <w:pPr>
        <w:pStyle w:val="17"/>
        <w:tabs>
          <w:tab w:val="right" w:leader="dot" w:pos="8306"/>
        </w:tabs>
        <w:ind w:left="480" w:firstLine="480"/>
        <w:rPr>
          <w:rFonts w:hint="default"/>
        </w:rPr>
      </w:pPr>
      <w:r>
        <w:fldChar w:fldCharType="begin"/>
      </w:r>
      <w:r>
        <w:instrText xml:space="preserve"> HYPERLINK \l "_Toc25236" </w:instrText>
      </w:r>
      <w:r>
        <w:fldChar w:fldCharType="separate"/>
      </w:r>
      <w:r>
        <w:rPr>
          <w:rFonts w:hAnsi="宋体"/>
        </w:rPr>
        <w:t xml:space="preserve">2.3 </w:t>
      </w:r>
      <w:r>
        <w:t>设计原则</w:t>
      </w:r>
      <w:r>
        <w:tab/>
      </w:r>
      <w:r>
        <w:fldChar w:fldCharType="begin"/>
      </w:r>
      <w:r>
        <w:instrText xml:space="preserve"> PAGEREF _Toc25236 \h </w:instrText>
      </w:r>
      <w:r>
        <w:fldChar w:fldCharType="separate"/>
      </w:r>
      <w:r>
        <w:t>8</w:t>
      </w:r>
      <w:r>
        <w:fldChar w:fldCharType="end"/>
      </w:r>
      <w:r>
        <w:fldChar w:fldCharType="end"/>
      </w:r>
    </w:p>
    <w:p>
      <w:pPr>
        <w:pStyle w:val="16"/>
        <w:tabs>
          <w:tab w:val="right" w:leader="dot" w:pos="8306"/>
        </w:tabs>
        <w:ind w:firstLine="480"/>
        <w:rPr>
          <w:rFonts w:hint="default"/>
        </w:rPr>
      </w:pPr>
      <w:r>
        <w:fldChar w:fldCharType="begin"/>
      </w:r>
      <w:r>
        <w:instrText xml:space="preserve"> HYPERLINK \l "_Toc22463" </w:instrText>
      </w:r>
      <w:r>
        <w:fldChar w:fldCharType="separate"/>
      </w:r>
      <w:r>
        <w:rPr>
          <w:rFonts w:hint="default"/>
        </w:rPr>
        <w:t xml:space="preserve">第三章 </w:t>
      </w:r>
      <w:r>
        <w:t>项目实施说明</w:t>
      </w:r>
      <w:r>
        <w:tab/>
      </w:r>
      <w:r>
        <w:fldChar w:fldCharType="begin"/>
      </w:r>
      <w:r>
        <w:instrText xml:space="preserve"> PAGEREF _Toc22463 \h </w:instrText>
      </w:r>
      <w:r>
        <w:fldChar w:fldCharType="separate"/>
      </w:r>
      <w:r>
        <w:t>11</w:t>
      </w:r>
      <w:r>
        <w:fldChar w:fldCharType="end"/>
      </w:r>
      <w:r>
        <w:fldChar w:fldCharType="end"/>
      </w:r>
    </w:p>
    <w:p>
      <w:pPr>
        <w:pStyle w:val="17"/>
        <w:tabs>
          <w:tab w:val="right" w:leader="dot" w:pos="8306"/>
        </w:tabs>
        <w:ind w:left="480" w:firstLine="480"/>
        <w:rPr>
          <w:rFonts w:hint="default"/>
        </w:rPr>
      </w:pPr>
      <w:r>
        <w:fldChar w:fldCharType="begin"/>
      </w:r>
      <w:r>
        <w:instrText xml:space="preserve"> HYPERLINK \l "_Toc7638" </w:instrText>
      </w:r>
      <w:r>
        <w:fldChar w:fldCharType="separate"/>
      </w:r>
      <w:r>
        <w:rPr>
          <w:rFonts w:hAnsi="宋体"/>
        </w:rPr>
        <w:t>3.1 现状调研与需求分析</w:t>
      </w:r>
      <w:r>
        <w:tab/>
      </w:r>
      <w:r>
        <w:fldChar w:fldCharType="begin"/>
      </w:r>
      <w:r>
        <w:instrText xml:space="preserve"> PAGEREF _Toc7638 \h </w:instrText>
      </w:r>
      <w:r>
        <w:fldChar w:fldCharType="separate"/>
      </w:r>
      <w:r>
        <w:t>11</w:t>
      </w:r>
      <w:r>
        <w:fldChar w:fldCharType="end"/>
      </w:r>
      <w:r>
        <w:fldChar w:fldCharType="end"/>
      </w:r>
    </w:p>
    <w:p>
      <w:pPr>
        <w:pStyle w:val="17"/>
        <w:tabs>
          <w:tab w:val="right" w:leader="dot" w:pos="8306"/>
        </w:tabs>
        <w:ind w:left="480" w:firstLine="480"/>
        <w:rPr>
          <w:rFonts w:hint="default"/>
        </w:rPr>
      </w:pPr>
      <w:r>
        <w:fldChar w:fldCharType="begin"/>
      </w:r>
      <w:r>
        <w:instrText xml:space="preserve"> HYPERLINK \l "_Toc13048" </w:instrText>
      </w:r>
      <w:r>
        <w:fldChar w:fldCharType="separate"/>
      </w:r>
      <w:r>
        <w:rPr>
          <w:rFonts w:hAnsi="宋体"/>
        </w:rPr>
        <w:t>3.2 人员培训</w:t>
      </w:r>
      <w:r>
        <w:tab/>
      </w:r>
      <w:r>
        <w:fldChar w:fldCharType="begin"/>
      </w:r>
      <w:r>
        <w:instrText xml:space="preserve"> PAGEREF _Toc13048 \h </w:instrText>
      </w:r>
      <w:r>
        <w:fldChar w:fldCharType="separate"/>
      </w:r>
      <w:r>
        <w:t>11</w:t>
      </w:r>
      <w:r>
        <w:fldChar w:fldCharType="end"/>
      </w:r>
      <w:r>
        <w:fldChar w:fldCharType="end"/>
      </w:r>
    </w:p>
    <w:p>
      <w:pPr>
        <w:pStyle w:val="17"/>
        <w:tabs>
          <w:tab w:val="right" w:leader="dot" w:pos="8306"/>
        </w:tabs>
        <w:ind w:left="480" w:firstLine="480"/>
        <w:rPr>
          <w:rFonts w:hint="default"/>
        </w:rPr>
      </w:pPr>
      <w:r>
        <w:fldChar w:fldCharType="begin"/>
      </w:r>
      <w:r>
        <w:instrText xml:space="preserve"> HYPERLINK \l "_Toc29901" </w:instrText>
      </w:r>
      <w:r>
        <w:fldChar w:fldCharType="separate"/>
      </w:r>
      <w:r>
        <w:rPr>
          <w:rFonts w:hAnsi="宋体"/>
        </w:rPr>
        <w:t>3.3 其他增值服务</w:t>
      </w:r>
      <w:r>
        <w:tab/>
      </w:r>
      <w:r>
        <w:fldChar w:fldCharType="begin"/>
      </w:r>
      <w:r>
        <w:instrText xml:space="preserve"> PAGEREF _Toc29901 \h </w:instrText>
      </w:r>
      <w:r>
        <w:fldChar w:fldCharType="separate"/>
      </w:r>
      <w:r>
        <w:t>12</w:t>
      </w:r>
      <w:r>
        <w:fldChar w:fldCharType="end"/>
      </w:r>
      <w:r>
        <w:fldChar w:fldCharType="end"/>
      </w:r>
    </w:p>
    <w:p>
      <w:pPr>
        <w:pStyle w:val="16"/>
        <w:tabs>
          <w:tab w:val="right" w:leader="dot" w:pos="8306"/>
        </w:tabs>
        <w:ind w:firstLine="480"/>
        <w:rPr>
          <w:rFonts w:hint="default"/>
        </w:rPr>
      </w:pPr>
      <w:r>
        <w:fldChar w:fldCharType="begin"/>
      </w:r>
      <w:r>
        <w:instrText xml:space="preserve"> HYPERLINK \l "_Toc17742" </w:instrText>
      </w:r>
      <w:r>
        <w:fldChar w:fldCharType="separate"/>
      </w:r>
      <w:r>
        <w:rPr>
          <w:rFonts w:hint="default"/>
        </w:rPr>
        <w:t xml:space="preserve">第四章 </w:t>
      </w:r>
      <w:r>
        <w:t>项目管理</w:t>
      </w:r>
      <w:r>
        <w:tab/>
      </w:r>
      <w:r>
        <w:fldChar w:fldCharType="begin"/>
      </w:r>
      <w:r>
        <w:instrText xml:space="preserve"> PAGEREF _Toc17742 \h </w:instrText>
      </w:r>
      <w:r>
        <w:fldChar w:fldCharType="separate"/>
      </w:r>
      <w:r>
        <w:t>13</w:t>
      </w:r>
      <w:r>
        <w:fldChar w:fldCharType="end"/>
      </w:r>
      <w:r>
        <w:fldChar w:fldCharType="end"/>
      </w:r>
    </w:p>
    <w:p>
      <w:pPr>
        <w:pStyle w:val="17"/>
        <w:tabs>
          <w:tab w:val="right" w:leader="dot" w:pos="8306"/>
        </w:tabs>
        <w:ind w:left="480" w:firstLine="480"/>
        <w:rPr>
          <w:rFonts w:hint="default"/>
        </w:rPr>
      </w:pPr>
      <w:r>
        <w:fldChar w:fldCharType="begin"/>
      </w:r>
      <w:r>
        <w:instrText xml:space="preserve"> HYPERLINK \l "_Toc1212" </w:instrText>
      </w:r>
      <w:r>
        <w:fldChar w:fldCharType="separate"/>
      </w:r>
      <w:r>
        <w:rPr>
          <w:rFonts w:hAnsi="宋体"/>
        </w:rPr>
        <w:t>4.1 项目管理方法论</w:t>
      </w:r>
      <w:r>
        <w:tab/>
      </w:r>
      <w:r>
        <w:fldChar w:fldCharType="begin"/>
      </w:r>
      <w:r>
        <w:instrText xml:space="preserve"> PAGEREF _Toc1212 \h </w:instrText>
      </w:r>
      <w:r>
        <w:fldChar w:fldCharType="separate"/>
      </w:r>
      <w:r>
        <w:t>13</w:t>
      </w:r>
      <w:r>
        <w:fldChar w:fldCharType="end"/>
      </w:r>
      <w:r>
        <w:fldChar w:fldCharType="end"/>
      </w:r>
    </w:p>
    <w:p>
      <w:pPr>
        <w:pStyle w:val="17"/>
        <w:tabs>
          <w:tab w:val="right" w:leader="dot" w:pos="8306"/>
        </w:tabs>
        <w:ind w:left="480" w:firstLine="480"/>
        <w:rPr>
          <w:rFonts w:hint="default"/>
        </w:rPr>
      </w:pPr>
      <w:r>
        <w:fldChar w:fldCharType="begin"/>
      </w:r>
      <w:r>
        <w:instrText xml:space="preserve"> HYPERLINK \l "_Toc6865" </w:instrText>
      </w:r>
      <w:r>
        <w:fldChar w:fldCharType="separate"/>
      </w:r>
      <w:r>
        <w:rPr>
          <w:rFonts w:hAnsi="宋体"/>
        </w:rPr>
        <w:t xml:space="preserve">4.2 </w:t>
      </w:r>
      <w:r>
        <w:t>项目实施组织</w:t>
      </w:r>
      <w:r>
        <w:tab/>
      </w:r>
      <w:r>
        <w:fldChar w:fldCharType="begin"/>
      </w:r>
      <w:r>
        <w:instrText xml:space="preserve"> PAGEREF _Toc6865 \h </w:instrText>
      </w:r>
      <w:r>
        <w:fldChar w:fldCharType="separate"/>
      </w:r>
      <w:r>
        <w:t>13</w:t>
      </w:r>
      <w:r>
        <w:fldChar w:fldCharType="end"/>
      </w:r>
      <w:r>
        <w:fldChar w:fldCharType="end"/>
      </w:r>
    </w:p>
    <w:p>
      <w:pPr>
        <w:pStyle w:val="17"/>
        <w:tabs>
          <w:tab w:val="right" w:leader="dot" w:pos="8306"/>
        </w:tabs>
        <w:ind w:left="480" w:firstLine="480"/>
        <w:rPr>
          <w:rFonts w:hint="default"/>
        </w:rPr>
      </w:pPr>
      <w:r>
        <w:fldChar w:fldCharType="begin"/>
      </w:r>
      <w:r>
        <w:instrText xml:space="preserve"> HYPERLINK \l "_Toc26084" </w:instrText>
      </w:r>
      <w:r>
        <w:fldChar w:fldCharType="separate"/>
      </w:r>
      <w:r>
        <w:rPr>
          <w:rFonts w:hAnsi="宋体"/>
        </w:rPr>
        <w:t>4.3 项目人员要求</w:t>
      </w:r>
      <w:r>
        <w:tab/>
      </w:r>
      <w:r>
        <w:fldChar w:fldCharType="begin"/>
      </w:r>
      <w:r>
        <w:instrText xml:space="preserve"> PAGEREF _Toc26084 \h </w:instrText>
      </w:r>
      <w:r>
        <w:fldChar w:fldCharType="separate"/>
      </w:r>
      <w:r>
        <w:t>13</w:t>
      </w:r>
      <w:r>
        <w:fldChar w:fldCharType="end"/>
      </w:r>
      <w:r>
        <w:fldChar w:fldCharType="end"/>
      </w:r>
    </w:p>
    <w:p>
      <w:pPr>
        <w:pStyle w:val="17"/>
        <w:tabs>
          <w:tab w:val="right" w:leader="dot" w:pos="8306"/>
        </w:tabs>
        <w:ind w:left="480" w:firstLine="480"/>
        <w:rPr>
          <w:rFonts w:hint="default"/>
        </w:rPr>
      </w:pPr>
      <w:r>
        <w:fldChar w:fldCharType="begin"/>
      </w:r>
      <w:r>
        <w:instrText xml:space="preserve"> HYPERLINK \l "_Toc32105" </w:instrText>
      </w:r>
      <w:r>
        <w:fldChar w:fldCharType="separate"/>
      </w:r>
      <w:r>
        <w:rPr>
          <w:rFonts w:hAnsi="宋体"/>
        </w:rPr>
        <w:t>4.4 项目实施计划</w:t>
      </w:r>
      <w:r>
        <w:tab/>
      </w:r>
      <w:r>
        <w:fldChar w:fldCharType="begin"/>
      </w:r>
      <w:r>
        <w:instrText xml:space="preserve"> PAGEREF _Toc32105 \h </w:instrText>
      </w:r>
      <w:r>
        <w:fldChar w:fldCharType="separate"/>
      </w:r>
      <w:r>
        <w:t>14</w:t>
      </w:r>
      <w:r>
        <w:fldChar w:fldCharType="end"/>
      </w:r>
      <w:r>
        <w:fldChar w:fldCharType="end"/>
      </w:r>
    </w:p>
    <w:p>
      <w:pPr>
        <w:pStyle w:val="17"/>
        <w:tabs>
          <w:tab w:val="right" w:leader="dot" w:pos="8306"/>
        </w:tabs>
        <w:ind w:left="480" w:firstLine="480"/>
        <w:rPr>
          <w:rFonts w:hint="default"/>
        </w:rPr>
      </w:pPr>
      <w:r>
        <w:fldChar w:fldCharType="begin"/>
      </w:r>
      <w:r>
        <w:instrText xml:space="preserve"> HYPERLINK \l "_Toc10894" </w:instrText>
      </w:r>
      <w:r>
        <w:fldChar w:fldCharType="separate"/>
      </w:r>
      <w:r>
        <w:rPr>
          <w:rFonts w:hAnsi="宋体"/>
        </w:rPr>
        <w:t>4.5 项目质量和安全管理</w:t>
      </w:r>
      <w:r>
        <w:tab/>
      </w:r>
      <w:r>
        <w:fldChar w:fldCharType="begin"/>
      </w:r>
      <w:r>
        <w:instrText xml:space="preserve"> PAGEREF _Toc10894 \h </w:instrText>
      </w:r>
      <w:r>
        <w:fldChar w:fldCharType="separate"/>
      </w:r>
      <w:r>
        <w:t>14</w:t>
      </w:r>
      <w:r>
        <w:fldChar w:fldCharType="end"/>
      </w:r>
      <w:r>
        <w:fldChar w:fldCharType="end"/>
      </w:r>
    </w:p>
    <w:p>
      <w:pPr>
        <w:pStyle w:val="16"/>
        <w:tabs>
          <w:tab w:val="right" w:leader="dot" w:pos="8306"/>
        </w:tabs>
        <w:ind w:firstLine="480"/>
        <w:rPr>
          <w:rFonts w:hint="default"/>
        </w:rPr>
      </w:pPr>
      <w:r>
        <w:fldChar w:fldCharType="begin"/>
      </w:r>
      <w:r>
        <w:instrText xml:space="preserve"> HYPERLINK \l "_Toc28211" </w:instrText>
      </w:r>
      <w:r>
        <w:fldChar w:fldCharType="separate"/>
      </w:r>
      <w:r>
        <w:rPr>
          <w:rFonts w:hint="default"/>
        </w:rPr>
        <w:t xml:space="preserve">第五章 </w:t>
      </w:r>
      <w:r>
        <w:t>供应商责任</w:t>
      </w:r>
      <w:r>
        <w:tab/>
      </w:r>
      <w:r>
        <w:fldChar w:fldCharType="begin"/>
      </w:r>
      <w:r>
        <w:instrText xml:space="preserve"> PAGEREF _Toc28211 \h </w:instrText>
      </w:r>
      <w:r>
        <w:fldChar w:fldCharType="separate"/>
      </w:r>
      <w:r>
        <w:t>15</w:t>
      </w:r>
      <w:r>
        <w:fldChar w:fldCharType="end"/>
      </w:r>
      <w:r>
        <w:fldChar w:fldCharType="end"/>
      </w:r>
    </w:p>
    <w:p>
      <w:pPr>
        <w:pStyle w:val="17"/>
        <w:tabs>
          <w:tab w:val="right" w:leader="dot" w:pos="8306"/>
        </w:tabs>
        <w:ind w:left="480" w:firstLine="480"/>
        <w:rPr>
          <w:rFonts w:hint="default"/>
        </w:rPr>
      </w:pPr>
      <w:r>
        <w:fldChar w:fldCharType="begin"/>
      </w:r>
      <w:r>
        <w:instrText xml:space="preserve"> HYPERLINK \l "_Toc3958" </w:instrText>
      </w:r>
      <w:r>
        <w:fldChar w:fldCharType="separate"/>
      </w:r>
      <w:r>
        <w:rPr>
          <w:rFonts w:hAnsi="宋体"/>
        </w:rPr>
        <w:t>5.1 供应商组织要求</w:t>
      </w:r>
      <w:r>
        <w:tab/>
      </w:r>
      <w:r>
        <w:fldChar w:fldCharType="begin"/>
      </w:r>
      <w:r>
        <w:instrText xml:space="preserve"> PAGEREF _Toc3958 \h </w:instrText>
      </w:r>
      <w:r>
        <w:fldChar w:fldCharType="separate"/>
      </w:r>
      <w:r>
        <w:t>15</w:t>
      </w:r>
      <w:r>
        <w:fldChar w:fldCharType="end"/>
      </w:r>
      <w:r>
        <w:fldChar w:fldCharType="end"/>
      </w:r>
    </w:p>
    <w:p>
      <w:pPr>
        <w:pStyle w:val="17"/>
        <w:tabs>
          <w:tab w:val="right" w:leader="dot" w:pos="8306"/>
        </w:tabs>
        <w:ind w:left="480" w:firstLine="480"/>
        <w:rPr>
          <w:rFonts w:hint="default"/>
        </w:rPr>
      </w:pPr>
      <w:r>
        <w:fldChar w:fldCharType="begin"/>
      </w:r>
      <w:r>
        <w:instrText xml:space="preserve"> HYPERLINK \l "_Toc16071" </w:instrText>
      </w:r>
      <w:r>
        <w:fldChar w:fldCharType="separate"/>
      </w:r>
      <w:r>
        <w:rPr>
          <w:rFonts w:hAnsi="宋体"/>
        </w:rPr>
        <w:t>5.2 供应商职责要求</w:t>
      </w:r>
      <w:r>
        <w:tab/>
      </w:r>
      <w:r>
        <w:fldChar w:fldCharType="begin"/>
      </w:r>
      <w:r>
        <w:instrText xml:space="preserve"> PAGEREF _Toc16071 \h </w:instrText>
      </w:r>
      <w:r>
        <w:fldChar w:fldCharType="separate"/>
      </w:r>
      <w:r>
        <w:t>15</w:t>
      </w:r>
      <w:r>
        <w:fldChar w:fldCharType="end"/>
      </w:r>
      <w:r>
        <w:fldChar w:fldCharType="end"/>
      </w:r>
    </w:p>
    <w:p>
      <w:pPr>
        <w:pStyle w:val="16"/>
        <w:tabs>
          <w:tab w:val="right" w:leader="dot" w:pos="8306"/>
        </w:tabs>
        <w:ind w:firstLine="480"/>
        <w:rPr>
          <w:rFonts w:hint="default"/>
        </w:rPr>
      </w:pPr>
      <w:r>
        <w:fldChar w:fldCharType="begin"/>
      </w:r>
      <w:r>
        <w:instrText xml:space="preserve"> HYPERLINK \l "_Toc12406" </w:instrText>
      </w:r>
      <w:r>
        <w:fldChar w:fldCharType="separate"/>
      </w:r>
      <w:r>
        <w:rPr>
          <w:rFonts w:hint="default"/>
        </w:rPr>
        <w:t xml:space="preserve">第六章 </w:t>
      </w:r>
      <w:r>
        <w:t>培训与知识转移</w:t>
      </w:r>
      <w:r>
        <w:tab/>
      </w:r>
      <w:r>
        <w:fldChar w:fldCharType="begin"/>
      </w:r>
      <w:r>
        <w:instrText xml:space="preserve"> PAGEREF _Toc12406 \h </w:instrText>
      </w:r>
      <w:r>
        <w:fldChar w:fldCharType="separate"/>
      </w:r>
      <w:r>
        <w:t>17</w:t>
      </w:r>
      <w:r>
        <w:fldChar w:fldCharType="end"/>
      </w:r>
      <w:r>
        <w:fldChar w:fldCharType="end"/>
      </w:r>
    </w:p>
    <w:p>
      <w:pPr>
        <w:pStyle w:val="17"/>
        <w:tabs>
          <w:tab w:val="right" w:leader="dot" w:pos="8306"/>
        </w:tabs>
        <w:ind w:left="480" w:firstLine="480"/>
        <w:rPr>
          <w:rFonts w:hint="default"/>
        </w:rPr>
      </w:pPr>
      <w:r>
        <w:fldChar w:fldCharType="begin"/>
      </w:r>
      <w:r>
        <w:instrText xml:space="preserve"> HYPERLINK \l "_Toc29103" </w:instrText>
      </w:r>
      <w:r>
        <w:fldChar w:fldCharType="separate"/>
      </w:r>
      <w:r>
        <w:rPr>
          <w:rFonts w:hAnsi="宋体"/>
        </w:rPr>
        <w:t>6.1 培训要求</w:t>
      </w:r>
      <w:r>
        <w:tab/>
      </w:r>
      <w:r>
        <w:fldChar w:fldCharType="begin"/>
      </w:r>
      <w:r>
        <w:instrText xml:space="preserve"> PAGEREF _Toc29103 \h </w:instrText>
      </w:r>
      <w:r>
        <w:fldChar w:fldCharType="separate"/>
      </w:r>
      <w:r>
        <w:t>17</w:t>
      </w:r>
      <w:r>
        <w:fldChar w:fldCharType="end"/>
      </w:r>
      <w:r>
        <w:fldChar w:fldCharType="end"/>
      </w:r>
    </w:p>
    <w:p>
      <w:pPr>
        <w:pStyle w:val="17"/>
        <w:tabs>
          <w:tab w:val="right" w:leader="dot" w:pos="8306"/>
        </w:tabs>
        <w:ind w:left="480" w:firstLine="480"/>
        <w:rPr>
          <w:rFonts w:hint="default"/>
        </w:rPr>
      </w:pPr>
      <w:r>
        <w:fldChar w:fldCharType="begin"/>
      </w:r>
      <w:r>
        <w:instrText xml:space="preserve"> HYPERLINK \l "_Toc27556" </w:instrText>
      </w:r>
      <w:r>
        <w:fldChar w:fldCharType="separate"/>
      </w:r>
      <w:r>
        <w:rPr>
          <w:rFonts w:hAnsi="宋体"/>
        </w:rPr>
        <w:t>6.2 系统功能、流程及使用操作培训</w:t>
      </w:r>
      <w:r>
        <w:tab/>
      </w:r>
      <w:r>
        <w:fldChar w:fldCharType="begin"/>
      </w:r>
      <w:r>
        <w:instrText xml:space="preserve"> PAGEREF _Toc27556 \h </w:instrText>
      </w:r>
      <w:r>
        <w:fldChar w:fldCharType="separate"/>
      </w:r>
      <w:r>
        <w:t>17</w:t>
      </w:r>
      <w:r>
        <w:fldChar w:fldCharType="end"/>
      </w:r>
      <w:r>
        <w:fldChar w:fldCharType="end"/>
      </w:r>
    </w:p>
    <w:p>
      <w:pPr>
        <w:pStyle w:val="17"/>
        <w:tabs>
          <w:tab w:val="right" w:leader="dot" w:pos="8306"/>
        </w:tabs>
        <w:ind w:left="480" w:firstLine="480"/>
        <w:rPr>
          <w:rFonts w:hint="default"/>
        </w:rPr>
      </w:pPr>
      <w:r>
        <w:fldChar w:fldCharType="begin"/>
      </w:r>
      <w:r>
        <w:instrText xml:space="preserve"> HYPERLINK \l "_Toc919" </w:instrText>
      </w:r>
      <w:r>
        <w:fldChar w:fldCharType="separate"/>
      </w:r>
      <w:r>
        <w:rPr>
          <w:rFonts w:hAnsi="宋体"/>
        </w:rPr>
        <w:t>6.3 系统运维维护管理培训</w:t>
      </w:r>
      <w:r>
        <w:tab/>
      </w:r>
      <w:r>
        <w:fldChar w:fldCharType="begin"/>
      </w:r>
      <w:r>
        <w:instrText xml:space="preserve"> PAGEREF _Toc919 \h </w:instrText>
      </w:r>
      <w:r>
        <w:fldChar w:fldCharType="separate"/>
      </w:r>
      <w:r>
        <w:t>17</w:t>
      </w:r>
      <w:r>
        <w:fldChar w:fldCharType="end"/>
      </w:r>
      <w:r>
        <w:fldChar w:fldCharType="end"/>
      </w:r>
    </w:p>
    <w:p>
      <w:pPr>
        <w:pStyle w:val="16"/>
        <w:tabs>
          <w:tab w:val="right" w:leader="dot" w:pos="8306"/>
        </w:tabs>
        <w:ind w:firstLine="480"/>
        <w:rPr>
          <w:rFonts w:hint="default"/>
        </w:rPr>
      </w:pPr>
      <w:r>
        <w:fldChar w:fldCharType="begin"/>
      </w:r>
      <w:r>
        <w:instrText xml:space="preserve"> HYPERLINK \l "_Toc11837" </w:instrText>
      </w:r>
      <w:r>
        <w:fldChar w:fldCharType="separate"/>
      </w:r>
      <w:r>
        <w:rPr>
          <w:rFonts w:hint="default"/>
        </w:rPr>
        <w:t xml:space="preserve">第七章 </w:t>
      </w:r>
      <w:r>
        <w:t>项目交付与成果物</w:t>
      </w:r>
      <w:r>
        <w:tab/>
      </w:r>
      <w:r>
        <w:fldChar w:fldCharType="begin"/>
      </w:r>
      <w:r>
        <w:instrText xml:space="preserve"> PAGEREF _Toc11837 \h </w:instrText>
      </w:r>
      <w:r>
        <w:fldChar w:fldCharType="separate"/>
      </w:r>
      <w:r>
        <w:t>18</w:t>
      </w:r>
      <w:r>
        <w:fldChar w:fldCharType="end"/>
      </w:r>
      <w:r>
        <w:fldChar w:fldCharType="end"/>
      </w:r>
    </w:p>
    <w:p>
      <w:pPr>
        <w:pStyle w:val="17"/>
        <w:tabs>
          <w:tab w:val="right" w:leader="dot" w:pos="8306"/>
        </w:tabs>
        <w:ind w:left="480" w:firstLine="480"/>
        <w:rPr>
          <w:rFonts w:hint="default"/>
        </w:rPr>
      </w:pPr>
      <w:r>
        <w:fldChar w:fldCharType="begin"/>
      </w:r>
      <w:r>
        <w:instrText xml:space="preserve"> HYPERLINK \l "_Toc2813" </w:instrText>
      </w:r>
      <w:r>
        <w:fldChar w:fldCharType="separate"/>
      </w:r>
      <w:r>
        <w:rPr>
          <w:rFonts w:hAnsi="宋体"/>
        </w:rPr>
        <w:t>7.1 项目成果交付</w:t>
      </w:r>
      <w:r>
        <w:tab/>
      </w:r>
      <w:r>
        <w:fldChar w:fldCharType="begin"/>
      </w:r>
      <w:r>
        <w:instrText xml:space="preserve"> PAGEREF _Toc2813 \h </w:instrText>
      </w:r>
      <w:r>
        <w:fldChar w:fldCharType="separate"/>
      </w:r>
      <w:r>
        <w:t>18</w:t>
      </w:r>
      <w:r>
        <w:fldChar w:fldCharType="end"/>
      </w:r>
      <w:r>
        <w:fldChar w:fldCharType="end"/>
      </w:r>
    </w:p>
    <w:p>
      <w:pPr>
        <w:pStyle w:val="17"/>
        <w:tabs>
          <w:tab w:val="right" w:leader="dot" w:pos="8306"/>
        </w:tabs>
        <w:ind w:left="480" w:firstLine="480"/>
        <w:rPr>
          <w:rFonts w:hint="default"/>
        </w:rPr>
      </w:pPr>
      <w:r>
        <w:fldChar w:fldCharType="begin"/>
      </w:r>
      <w:r>
        <w:instrText xml:space="preserve"> HYPERLINK \l "_Toc534" </w:instrText>
      </w:r>
      <w:r>
        <w:fldChar w:fldCharType="separate"/>
      </w:r>
      <w:r>
        <w:rPr>
          <w:rFonts w:hAnsi="宋体"/>
        </w:rPr>
        <w:t>7.2 维保服务</w:t>
      </w:r>
      <w:r>
        <w:tab/>
      </w:r>
      <w:r>
        <w:fldChar w:fldCharType="begin"/>
      </w:r>
      <w:r>
        <w:instrText xml:space="preserve"> PAGEREF _Toc534 \h </w:instrText>
      </w:r>
      <w:r>
        <w:fldChar w:fldCharType="separate"/>
      </w:r>
      <w:r>
        <w:t>19</w:t>
      </w:r>
      <w:r>
        <w:fldChar w:fldCharType="end"/>
      </w:r>
      <w:r>
        <w:fldChar w:fldCharType="end"/>
      </w:r>
    </w:p>
    <w:p>
      <w:pPr>
        <w:pStyle w:val="12"/>
        <w:tabs>
          <w:tab w:val="right" w:leader="dot" w:pos="8306"/>
        </w:tabs>
        <w:ind w:left="960" w:firstLine="480"/>
        <w:rPr>
          <w:rFonts w:hint="default"/>
        </w:rPr>
      </w:pPr>
      <w:r>
        <w:fldChar w:fldCharType="begin"/>
      </w:r>
      <w:r>
        <w:instrText xml:space="preserve"> HYPERLINK \l "_Toc19055" </w:instrText>
      </w:r>
      <w:r>
        <w:fldChar w:fldCharType="separate"/>
      </w:r>
      <w:r>
        <w:rPr>
          <w:rFonts w:hint="default"/>
        </w:rPr>
        <w:t xml:space="preserve">7.2.1 </w:t>
      </w:r>
      <w:r>
        <w:t>升级服务</w:t>
      </w:r>
      <w:r>
        <w:tab/>
      </w:r>
      <w:r>
        <w:fldChar w:fldCharType="begin"/>
      </w:r>
      <w:r>
        <w:instrText xml:space="preserve"> PAGEREF _Toc19055 \h </w:instrText>
      </w:r>
      <w:r>
        <w:fldChar w:fldCharType="separate"/>
      </w:r>
      <w:r>
        <w:t>19</w:t>
      </w:r>
      <w:r>
        <w:fldChar w:fldCharType="end"/>
      </w:r>
      <w:r>
        <w:fldChar w:fldCharType="end"/>
      </w:r>
    </w:p>
    <w:p>
      <w:pPr>
        <w:pStyle w:val="12"/>
        <w:tabs>
          <w:tab w:val="right" w:leader="dot" w:pos="8306"/>
        </w:tabs>
        <w:ind w:left="960" w:firstLine="480"/>
        <w:rPr>
          <w:rFonts w:hint="default"/>
        </w:rPr>
      </w:pPr>
      <w:r>
        <w:fldChar w:fldCharType="begin"/>
      </w:r>
      <w:r>
        <w:instrText xml:space="preserve"> HYPERLINK \l "_Toc10091" </w:instrText>
      </w:r>
      <w:r>
        <w:fldChar w:fldCharType="separate"/>
      </w:r>
      <w:r>
        <w:rPr>
          <w:rFonts w:hint="default"/>
        </w:rPr>
        <w:t xml:space="preserve">7.2.2 </w:t>
      </w:r>
      <w:r>
        <w:t>技术支持服务</w:t>
      </w:r>
      <w:r>
        <w:tab/>
      </w:r>
      <w:r>
        <w:fldChar w:fldCharType="begin"/>
      </w:r>
      <w:r>
        <w:instrText xml:space="preserve"> PAGEREF _Toc10091 \h </w:instrText>
      </w:r>
      <w:r>
        <w:fldChar w:fldCharType="separate"/>
      </w:r>
      <w:r>
        <w:t>19</w:t>
      </w:r>
      <w:r>
        <w:fldChar w:fldCharType="end"/>
      </w:r>
      <w:r>
        <w:fldChar w:fldCharType="end"/>
      </w:r>
    </w:p>
    <w:p>
      <w:pPr>
        <w:pStyle w:val="12"/>
        <w:tabs>
          <w:tab w:val="right" w:leader="dot" w:pos="8306"/>
        </w:tabs>
        <w:ind w:left="960" w:firstLine="480"/>
        <w:rPr>
          <w:rFonts w:hint="default"/>
        </w:rPr>
      </w:pPr>
      <w:r>
        <w:fldChar w:fldCharType="begin"/>
      </w:r>
      <w:r>
        <w:instrText xml:space="preserve"> HYPERLINK \l "_Toc29073" </w:instrText>
      </w:r>
      <w:r>
        <w:fldChar w:fldCharType="separate"/>
      </w:r>
      <w:r>
        <w:rPr>
          <w:rFonts w:hint="default"/>
        </w:rPr>
        <w:t xml:space="preserve">7.2.3 </w:t>
      </w:r>
      <w:r>
        <w:t>安全漏洞修复服务</w:t>
      </w:r>
      <w:r>
        <w:tab/>
      </w:r>
      <w:r>
        <w:fldChar w:fldCharType="begin"/>
      </w:r>
      <w:r>
        <w:instrText xml:space="preserve"> PAGEREF _Toc29073 \h </w:instrText>
      </w:r>
      <w:r>
        <w:fldChar w:fldCharType="separate"/>
      </w:r>
      <w:r>
        <w:t>19</w:t>
      </w:r>
      <w:r>
        <w:fldChar w:fldCharType="end"/>
      </w:r>
      <w:r>
        <w:fldChar w:fldCharType="end"/>
      </w:r>
    </w:p>
    <w:p>
      <w:pPr>
        <w:pStyle w:val="16"/>
        <w:tabs>
          <w:tab w:val="right" w:leader="dot" w:pos="8306"/>
        </w:tabs>
        <w:ind w:firstLine="480"/>
        <w:rPr>
          <w:rFonts w:hint="default"/>
        </w:rPr>
      </w:pPr>
      <w:r>
        <w:fldChar w:fldCharType="begin"/>
      </w:r>
      <w:r>
        <w:instrText xml:space="preserve"> HYPERLINK \l "_Toc9791" </w:instrText>
      </w:r>
      <w:r>
        <w:fldChar w:fldCharType="separate"/>
      </w:r>
      <w:r>
        <w:rPr>
          <w:rFonts w:hint="default"/>
        </w:rPr>
        <w:t xml:space="preserve">第八章 </w:t>
      </w:r>
      <w:r>
        <w:t>验收</w:t>
      </w:r>
      <w:r>
        <w:tab/>
      </w:r>
      <w:r>
        <w:fldChar w:fldCharType="begin"/>
      </w:r>
      <w:r>
        <w:instrText xml:space="preserve"> PAGEREF _Toc9791 \h </w:instrText>
      </w:r>
      <w:r>
        <w:fldChar w:fldCharType="separate"/>
      </w:r>
      <w:r>
        <w:t>20</w:t>
      </w:r>
      <w:r>
        <w:fldChar w:fldCharType="end"/>
      </w:r>
      <w:r>
        <w:fldChar w:fldCharType="end"/>
      </w:r>
    </w:p>
    <w:p>
      <w:pPr>
        <w:pStyle w:val="16"/>
        <w:tabs>
          <w:tab w:val="right" w:leader="dot" w:pos="8306"/>
        </w:tabs>
        <w:ind w:firstLine="480"/>
        <w:rPr>
          <w:rFonts w:hint="default"/>
        </w:rPr>
      </w:pPr>
      <w:r>
        <w:fldChar w:fldCharType="end"/>
      </w:r>
      <w:bookmarkStart w:id="6" w:name="_Toc111108459"/>
      <w:bookmarkStart w:id="7" w:name="_Toc26627"/>
      <w:bookmarkStart w:id="8" w:name="_Toc92187027"/>
      <w:bookmarkStart w:id="9" w:name="_Toc147222345"/>
    </w:p>
    <w:p>
      <w:pPr>
        <w:pStyle w:val="4"/>
        <w:spacing w:after="240" w:line="360" w:lineRule="auto"/>
        <w:ind w:left="0"/>
        <w:rPr>
          <w:rFonts w:hint="default"/>
        </w:rPr>
      </w:pPr>
      <w:bookmarkStart w:id="10" w:name="_Toc14621"/>
      <w:bookmarkStart w:id="11" w:name="_Toc28080"/>
      <w:bookmarkStart w:id="12" w:name="_Toc9540"/>
      <w:r>
        <w:t>适用范围</w:t>
      </w:r>
      <w:bookmarkEnd w:id="6"/>
      <w:bookmarkEnd w:id="7"/>
      <w:bookmarkEnd w:id="8"/>
      <w:bookmarkEnd w:id="9"/>
      <w:bookmarkEnd w:id="10"/>
      <w:bookmarkEnd w:id="11"/>
      <w:bookmarkEnd w:id="12"/>
    </w:p>
    <w:p>
      <w:pPr>
        <w:ind w:firstLine="480"/>
        <w:rPr>
          <w:rFonts w:hint="default"/>
        </w:rPr>
      </w:pPr>
      <w:r>
        <w:t>本技术规范书明确中国人寿保险（海外）股份有限公司（以下简称：国寿海外）</w:t>
      </w:r>
      <w:r>
        <w:rPr>
          <w:rFonts w:hint="eastAsia"/>
          <w:lang w:val="en-US" w:eastAsia="zh-CN"/>
        </w:rPr>
        <w:t>RPA业务流程维护及改造</w:t>
      </w:r>
      <w:r>
        <w:t>项目（以下简称：本项目）的基本需求，也是对供应商（以下别称：乙方）的基本要求。通过本文件规范供应商的服务方案设计、实施过程及成果验收交付。</w:t>
      </w:r>
    </w:p>
    <w:p>
      <w:pPr>
        <w:ind w:firstLine="480"/>
        <w:rPr>
          <w:rFonts w:hint="default"/>
        </w:rPr>
      </w:pPr>
      <w:r>
        <w:t>本技术规范中所有内容和技术要求属于安全保密信息，所有参与相关商务投标的供应商不得扩散或者泄露任何相关内容。</w:t>
      </w:r>
    </w:p>
    <w:p>
      <w:pPr>
        <w:pStyle w:val="3"/>
        <w:ind w:firstLine="0" w:firstLineChars="0"/>
        <w:rPr>
          <w:rFonts w:hint="default"/>
        </w:rPr>
      </w:pPr>
    </w:p>
    <w:bookmarkEnd w:id="0"/>
    <w:bookmarkEnd w:id="1"/>
    <w:bookmarkEnd w:id="2"/>
    <w:bookmarkEnd w:id="3"/>
    <w:p>
      <w:pPr>
        <w:pStyle w:val="4"/>
        <w:spacing w:after="240" w:line="360" w:lineRule="auto"/>
        <w:ind w:left="0"/>
        <w:rPr>
          <w:rFonts w:hint="default"/>
        </w:rPr>
      </w:pPr>
      <w:bookmarkStart w:id="13" w:name="_Toc92187028"/>
      <w:bookmarkStart w:id="14" w:name="_Toc3049"/>
      <w:bookmarkStart w:id="15" w:name="_Toc17861"/>
      <w:bookmarkStart w:id="16" w:name="_Toc147222346"/>
      <w:bookmarkStart w:id="17" w:name="_Toc7410"/>
      <w:bookmarkStart w:id="18" w:name="_Toc111108460"/>
      <w:bookmarkStart w:id="19" w:name="_Toc14775"/>
      <w:r>
        <w:t>背景、目标</w:t>
      </w:r>
      <w:bookmarkEnd w:id="13"/>
      <w:r>
        <w:t>及范围</w:t>
      </w:r>
      <w:bookmarkEnd w:id="14"/>
      <w:bookmarkEnd w:id="15"/>
      <w:bookmarkEnd w:id="16"/>
      <w:bookmarkEnd w:id="17"/>
      <w:bookmarkEnd w:id="18"/>
      <w:bookmarkEnd w:id="19"/>
    </w:p>
    <w:p>
      <w:pPr>
        <w:pStyle w:val="5"/>
        <w:spacing w:line="360" w:lineRule="auto"/>
      </w:pPr>
      <w:bookmarkStart w:id="20" w:name="_Toc111108461"/>
      <w:bookmarkStart w:id="21" w:name="_Toc92187029"/>
      <w:bookmarkStart w:id="22" w:name="_Toc10422"/>
      <w:bookmarkStart w:id="23" w:name="_Toc147222347"/>
      <w:bookmarkStart w:id="24" w:name="_Toc10871"/>
      <w:bookmarkStart w:id="25" w:name="_Toc550"/>
      <w:bookmarkStart w:id="26" w:name="_Toc13914"/>
      <w:r>
        <w:rPr>
          <w:rFonts w:hint="eastAsia"/>
        </w:rPr>
        <w:t>项目背景</w:t>
      </w:r>
      <w:bookmarkEnd w:id="20"/>
      <w:bookmarkEnd w:id="21"/>
      <w:bookmarkEnd w:id="22"/>
      <w:bookmarkEnd w:id="23"/>
      <w:bookmarkEnd w:id="24"/>
      <w:bookmarkEnd w:id="25"/>
      <w:bookmarkEnd w:id="26"/>
    </w:p>
    <w:p>
      <w:pPr>
        <w:pStyle w:val="2"/>
        <w:keepNext w:val="0"/>
        <w:keepLines w:val="0"/>
        <w:pageBreakBefore w:val="0"/>
        <w:widowControl w:val="0"/>
        <w:kinsoku/>
        <w:wordWrap/>
        <w:overflowPunct/>
        <w:topLinePunct w:val="0"/>
        <w:autoSpaceDE/>
        <w:autoSpaceDN/>
        <w:bidi w:val="0"/>
        <w:adjustRightInd w:val="0"/>
        <w:snapToGrid/>
        <w:spacing w:before="0" w:after="0"/>
        <w:ind w:firstLine="480" w:firstLineChars="200"/>
        <w:textAlignment w:val="baseline"/>
        <w:rPr>
          <w:rFonts w:hint="default" w:cs="宋体"/>
          <w:kern w:val="2"/>
          <w:sz w:val="24"/>
          <w:szCs w:val="24"/>
          <w:lang w:val="en-US" w:eastAsia="zh-CN" w:bidi="ar-SA"/>
        </w:rPr>
      </w:pPr>
      <w:bookmarkStart w:id="27" w:name="_Toc252949919"/>
      <w:bookmarkEnd w:id="27"/>
      <w:bookmarkStart w:id="28" w:name="_Toc252949918"/>
      <w:bookmarkEnd w:id="28"/>
      <w:bookmarkStart w:id="29" w:name="_Toc253129146"/>
      <w:bookmarkEnd w:id="29"/>
      <w:bookmarkStart w:id="30" w:name="_Toc253129147"/>
      <w:bookmarkEnd w:id="30"/>
      <w:bookmarkStart w:id="31" w:name="_Toc316824378"/>
      <w:bookmarkStart w:id="32" w:name="_Toc316584745"/>
      <w:bookmarkStart w:id="33" w:name="_Toc316824952"/>
      <w:bookmarkStart w:id="34" w:name="_Toc316825131"/>
      <w:r>
        <w:rPr>
          <w:rFonts w:hint="eastAsia" w:cs="宋体"/>
          <w:kern w:val="2"/>
          <w:sz w:val="24"/>
          <w:szCs w:val="24"/>
          <w:lang w:val="en-US" w:eastAsia="zh-CN" w:bidi="ar-SA"/>
        </w:rPr>
        <w:t>系统现状：</w:t>
      </w:r>
      <w:r>
        <w:rPr>
          <w:rFonts w:hint="eastAsia" w:ascii="宋体" w:hAnsi="Times New Roman" w:eastAsia="宋体" w:cs="宋体"/>
          <w:kern w:val="2"/>
          <w:sz w:val="24"/>
          <w:szCs w:val="24"/>
          <w:lang w:val="en-US" w:eastAsia="zh-CN" w:bidi="ar-SA"/>
        </w:rPr>
        <w:t>2020年至2024年，海外公司通过采购机器人流程自动化(RPA)技术，共实施完成了四期项目</w:t>
      </w:r>
      <w:r>
        <w:rPr>
          <w:rFonts w:hint="eastAsia" w:cs="宋体"/>
          <w:kern w:val="2"/>
          <w:sz w:val="24"/>
          <w:szCs w:val="24"/>
          <w:lang w:val="en-US" w:eastAsia="zh-CN" w:bidi="ar-SA"/>
        </w:rPr>
        <w:t>，分别涉及</w:t>
      </w:r>
      <w:r>
        <w:rPr>
          <w:rFonts w:hint="eastAsia" w:ascii="宋体" w:hAnsi="Times New Roman" w:eastAsia="宋体" w:cs="宋体"/>
          <w:kern w:val="2"/>
          <w:sz w:val="24"/>
          <w:szCs w:val="24"/>
          <w:lang w:val="en-US" w:eastAsia="zh-CN" w:bidi="ar-SA"/>
        </w:rPr>
        <w:t>香港</w:t>
      </w:r>
      <w:r>
        <w:rPr>
          <w:rFonts w:hint="eastAsia" w:cs="宋体"/>
          <w:kern w:val="2"/>
          <w:sz w:val="24"/>
          <w:szCs w:val="24"/>
          <w:lang w:val="en-US" w:eastAsia="zh-CN" w:bidi="ar-SA"/>
        </w:rPr>
        <w:t>、</w:t>
      </w:r>
      <w:r>
        <w:rPr>
          <w:rFonts w:hint="eastAsia" w:ascii="宋体" w:hAnsi="Times New Roman" w:eastAsia="宋体" w:cs="宋体"/>
          <w:kern w:val="2"/>
          <w:sz w:val="24"/>
          <w:szCs w:val="24"/>
          <w:lang w:val="en-US" w:eastAsia="zh-CN" w:bidi="ar-SA"/>
        </w:rPr>
        <w:t>澳门</w:t>
      </w:r>
      <w:r>
        <w:rPr>
          <w:rFonts w:hint="eastAsia" w:cs="宋体"/>
          <w:kern w:val="2"/>
          <w:sz w:val="24"/>
          <w:szCs w:val="24"/>
          <w:lang w:val="en-US" w:eastAsia="zh-CN" w:bidi="ar-SA"/>
        </w:rPr>
        <w:t>、</w:t>
      </w:r>
      <w:r>
        <w:rPr>
          <w:rFonts w:hint="eastAsia" w:ascii="宋体" w:hAnsi="Times New Roman" w:eastAsia="宋体" w:cs="宋体"/>
          <w:kern w:val="2"/>
          <w:sz w:val="24"/>
          <w:szCs w:val="24"/>
          <w:lang w:val="en-US" w:eastAsia="zh-CN" w:bidi="ar-SA"/>
        </w:rPr>
        <w:t>新加坡</w:t>
      </w:r>
      <w:r>
        <w:rPr>
          <w:rFonts w:hint="eastAsia" w:cs="宋体"/>
          <w:kern w:val="2"/>
          <w:sz w:val="24"/>
          <w:szCs w:val="24"/>
          <w:lang w:val="en-US" w:eastAsia="zh-CN" w:bidi="ar-SA"/>
        </w:rPr>
        <w:t>、信托公司财务业务。</w:t>
      </w:r>
      <w:r>
        <w:rPr>
          <w:rFonts w:hint="eastAsia" w:ascii="宋体" w:hAnsi="Times New Roman" w:eastAsia="宋体" w:cs="宋体"/>
          <w:kern w:val="2"/>
          <w:sz w:val="24"/>
          <w:szCs w:val="24"/>
          <w:lang w:val="en-US" w:eastAsia="zh-CN" w:bidi="ar-SA"/>
        </w:rPr>
        <w:t>截</w:t>
      </w:r>
      <w:r>
        <w:rPr>
          <w:rFonts w:hint="eastAsia" w:cs="宋体"/>
          <w:kern w:val="2"/>
          <w:sz w:val="24"/>
          <w:szCs w:val="24"/>
          <w:lang w:val="en-US" w:eastAsia="zh-CN" w:bidi="ar-SA"/>
        </w:rPr>
        <w:t>至</w:t>
      </w:r>
      <w:r>
        <w:rPr>
          <w:rFonts w:hint="eastAsia" w:ascii="宋体" w:hAnsi="Times New Roman" w:eastAsia="宋体" w:cs="宋体"/>
          <w:kern w:val="2"/>
          <w:sz w:val="24"/>
          <w:szCs w:val="24"/>
          <w:lang w:val="en-US" w:eastAsia="zh-CN" w:bidi="ar-SA"/>
        </w:rPr>
        <w:t>目前，系统整体运行平稳，用户体验良好。</w:t>
      </w:r>
    </w:p>
    <w:p>
      <w:pPr>
        <w:pStyle w:val="2"/>
        <w:keepNext w:val="0"/>
        <w:keepLines w:val="0"/>
        <w:pageBreakBefore w:val="0"/>
        <w:widowControl w:val="0"/>
        <w:kinsoku/>
        <w:wordWrap/>
        <w:overflowPunct/>
        <w:topLinePunct w:val="0"/>
        <w:autoSpaceDE/>
        <w:autoSpaceDN/>
        <w:bidi w:val="0"/>
        <w:adjustRightInd w:val="0"/>
        <w:snapToGrid/>
        <w:spacing w:before="0" w:after="0"/>
        <w:ind w:firstLine="480" w:firstLineChars="200"/>
        <w:textAlignment w:val="baseline"/>
        <w:rPr>
          <w:rFonts w:hint="default" w:ascii="宋体" w:hAnsi="Times New Roman" w:eastAsia="宋体" w:cs="宋体"/>
          <w:kern w:val="2"/>
          <w:sz w:val="24"/>
          <w:szCs w:val="24"/>
          <w:lang w:val="en-US" w:eastAsia="zh-CN" w:bidi="ar-SA"/>
        </w:rPr>
      </w:pPr>
      <w:r>
        <w:rPr>
          <w:rFonts w:hint="eastAsia" w:cs="宋体"/>
          <w:kern w:val="2"/>
          <w:sz w:val="24"/>
          <w:szCs w:val="24"/>
          <w:lang w:val="en-US" w:eastAsia="zh-CN" w:bidi="ar-SA"/>
        </w:rPr>
        <w:t>为</w:t>
      </w:r>
      <w:r>
        <w:rPr>
          <w:rFonts w:hint="eastAsia" w:ascii="宋体" w:hAnsi="Times New Roman" w:eastAsia="宋体" w:cs="宋体"/>
          <w:kern w:val="2"/>
          <w:sz w:val="24"/>
          <w:szCs w:val="24"/>
          <w:lang w:val="en-US" w:eastAsia="zh-CN" w:bidi="ar-SA"/>
        </w:rPr>
        <w:t>提升海外公司财务数字化运营水平，保障</w:t>
      </w:r>
      <w:r>
        <w:rPr>
          <w:rFonts w:hint="eastAsia" w:cs="宋体"/>
          <w:kern w:val="2"/>
          <w:sz w:val="24"/>
          <w:szCs w:val="24"/>
          <w:lang w:val="en-US" w:eastAsia="zh-CN" w:bidi="ar-SA"/>
        </w:rPr>
        <w:t>流程</w:t>
      </w:r>
      <w:r>
        <w:rPr>
          <w:rFonts w:hint="eastAsia" w:ascii="宋体" w:hAnsi="Times New Roman" w:eastAsia="宋体" w:cs="宋体"/>
          <w:kern w:val="2"/>
          <w:sz w:val="24"/>
          <w:szCs w:val="24"/>
          <w:lang w:val="en-US" w:eastAsia="zh-CN" w:bidi="ar-SA"/>
        </w:rPr>
        <w:t>平稳运行</w:t>
      </w:r>
      <w:r>
        <w:rPr>
          <w:rFonts w:hint="eastAsia" w:cs="宋体"/>
          <w:kern w:val="2"/>
          <w:sz w:val="24"/>
          <w:szCs w:val="24"/>
          <w:lang w:val="en-US" w:eastAsia="zh-CN" w:bidi="ar-SA"/>
        </w:rPr>
        <w:t>，</w:t>
      </w:r>
      <w:r>
        <w:rPr>
          <w:rFonts w:hint="eastAsia" w:ascii="宋体" w:hAnsi="Times New Roman" w:eastAsia="宋体" w:cs="宋体"/>
          <w:kern w:val="2"/>
          <w:sz w:val="24"/>
          <w:szCs w:val="24"/>
          <w:lang w:val="en-US" w:eastAsia="zh-CN" w:bidi="ar-SA"/>
        </w:rPr>
        <w:t>进一步深化</w:t>
      </w:r>
      <w:r>
        <w:rPr>
          <w:rFonts w:hint="eastAsia" w:cs="宋体"/>
          <w:kern w:val="2"/>
          <w:sz w:val="24"/>
          <w:szCs w:val="24"/>
          <w:lang w:val="en-US" w:eastAsia="zh-CN" w:bidi="ar-SA"/>
        </w:rPr>
        <w:t>RPA</w:t>
      </w:r>
      <w:r>
        <w:rPr>
          <w:rFonts w:hint="eastAsia" w:ascii="宋体" w:hAnsi="Times New Roman" w:eastAsia="宋体" w:cs="宋体"/>
          <w:kern w:val="2"/>
          <w:sz w:val="24"/>
          <w:szCs w:val="24"/>
          <w:lang w:val="en-US" w:eastAsia="zh-CN" w:bidi="ar-SA"/>
        </w:rPr>
        <w:t>系统的应用</w:t>
      </w:r>
      <w:r>
        <w:rPr>
          <w:rFonts w:hint="eastAsia" w:cs="宋体"/>
          <w:kern w:val="2"/>
          <w:sz w:val="24"/>
          <w:szCs w:val="24"/>
          <w:lang w:val="en-US" w:eastAsia="zh-CN" w:bidi="ar-SA"/>
        </w:rPr>
        <w:t>，</w:t>
      </w:r>
      <w:r>
        <w:rPr>
          <w:rFonts w:cs="宋体"/>
        </w:rPr>
        <w:t>提升运营效率与用户体验，助力</w:t>
      </w:r>
      <w:r>
        <w:rPr>
          <w:rFonts w:hint="eastAsia" w:cs="宋体"/>
          <w:lang w:val="en-US" w:eastAsia="zh-CN"/>
        </w:rPr>
        <w:t>海外公司财务</w:t>
      </w:r>
      <w:r>
        <w:rPr>
          <w:rFonts w:cs="宋体"/>
        </w:rPr>
        <w:t>业务发展</w:t>
      </w:r>
      <w:r>
        <w:rPr>
          <w:rFonts w:hint="eastAsia" w:cs="宋体"/>
          <w:kern w:val="2"/>
          <w:sz w:val="24"/>
          <w:szCs w:val="24"/>
          <w:lang w:val="en-US" w:eastAsia="zh-CN" w:bidi="ar-SA"/>
        </w:rPr>
        <w:t>。</w:t>
      </w:r>
    </w:p>
    <w:bookmarkEnd w:id="31"/>
    <w:bookmarkEnd w:id="32"/>
    <w:bookmarkEnd w:id="33"/>
    <w:bookmarkEnd w:id="34"/>
    <w:p>
      <w:pPr>
        <w:pStyle w:val="5"/>
        <w:spacing w:line="360" w:lineRule="auto"/>
      </w:pPr>
      <w:bookmarkStart w:id="35" w:name="_Toc320268074"/>
      <w:bookmarkEnd w:id="35"/>
      <w:bookmarkStart w:id="36" w:name="_Toc320267761"/>
      <w:bookmarkEnd w:id="36"/>
      <w:bookmarkStart w:id="37" w:name="_Toc320194481"/>
      <w:bookmarkEnd w:id="37"/>
      <w:bookmarkStart w:id="38" w:name="_Toc320199245"/>
      <w:bookmarkEnd w:id="38"/>
      <w:bookmarkStart w:id="39" w:name="_Toc320196787"/>
      <w:bookmarkEnd w:id="39"/>
      <w:bookmarkStart w:id="40" w:name="_Toc320263162"/>
      <w:bookmarkEnd w:id="40"/>
      <w:bookmarkStart w:id="41" w:name="_Toc320267289"/>
      <w:bookmarkEnd w:id="41"/>
      <w:bookmarkStart w:id="42" w:name="_Toc320261334"/>
      <w:bookmarkEnd w:id="42"/>
      <w:bookmarkStart w:id="43" w:name="_Toc320199831"/>
      <w:bookmarkEnd w:id="43"/>
      <w:bookmarkStart w:id="44" w:name="_Toc320267604"/>
      <w:bookmarkEnd w:id="44"/>
      <w:bookmarkStart w:id="45" w:name="_Toc320193967"/>
      <w:bookmarkEnd w:id="45"/>
      <w:bookmarkStart w:id="46" w:name="_Toc320263931"/>
      <w:bookmarkEnd w:id="46"/>
      <w:bookmarkStart w:id="47" w:name="_Toc320201509"/>
      <w:bookmarkEnd w:id="47"/>
      <w:bookmarkStart w:id="48" w:name="_Toc320201330"/>
      <w:bookmarkEnd w:id="48"/>
      <w:bookmarkStart w:id="49" w:name="_Toc320195923"/>
      <w:bookmarkEnd w:id="49"/>
      <w:bookmarkStart w:id="50" w:name="_Toc320194482"/>
      <w:bookmarkEnd w:id="50"/>
      <w:bookmarkStart w:id="51" w:name="_Toc320265187"/>
      <w:bookmarkEnd w:id="51"/>
      <w:bookmarkStart w:id="52" w:name="_Toc320263161"/>
      <w:bookmarkEnd w:id="52"/>
      <w:bookmarkStart w:id="53" w:name="_Toc320261335"/>
      <w:bookmarkEnd w:id="53"/>
      <w:bookmarkStart w:id="54" w:name="_Toc320195745"/>
      <w:bookmarkEnd w:id="54"/>
      <w:bookmarkStart w:id="55" w:name="_Toc320199272"/>
      <w:bookmarkEnd w:id="55"/>
      <w:bookmarkStart w:id="56" w:name="_Toc320257711"/>
      <w:bookmarkEnd w:id="56"/>
      <w:bookmarkStart w:id="57" w:name="_Toc320199005"/>
      <w:bookmarkEnd w:id="57"/>
      <w:bookmarkStart w:id="58" w:name="_Toc320199832"/>
      <w:bookmarkEnd w:id="58"/>
      <w:bookmarkStart w:id="59" w:name="_Toc320201331"/>
      <w:bookmarkEnd w:id="59"/>
      <w:bookmarkStart w:id="60" w:name="_Toc320267447"/>
      <w:bookmarkEnd w:id="60"/>
      <w:bookmarkStart w:id="61" w:name="_Toc320196786"/>
      <w:bookmarkEnd w:id="61"/>
      <w:bookmarkStart w:id="62" w:name="_Toc320267919"/>
      <w:bookmarkEnd w:id="62"/>
      <w:bookmarkStart w:id="63" w:name="_Toc320194394"/>
      <w:bookmarkEnd w:id="63"/>
      <w:bookmarkStart w:id="64" w:name="_Toc320257710"/>
      <w:bookmarkEnd w:id="64"/>
      <w:bookmarkStart w:id="65" w:name="_Toc320265341"/>
      <w:bookmarkEnd w:id="65"/>
      <w:bookmarkStart w:id="66" w:name="_Toc320265492"/>
      <w:bookmarkEnd w:id="66"/>
      <w:bookmarkStart w:id="67" w:name="_Toc320195668"/>
      <w:bookmarkEnd w:id="67"/>
      <w:bookmarkStart w:id="68" w:name="_Toc320195746"/>
      <w:bookmarkEnd w:id="68"/>
      <w:bookmarkStart w:id="69" w:name="_Toc320257042"/>
      <w:bookmarkEnd w:id="69"/>
      <w:bookmarkStart w:id="70" w:name="_Toc320201383"/>
      <w:bookmarkEnd w:id="70"/>
      <w:bookmarkStart w:id="71" w:name="_Toc320198916"/>
      <w:bookmarkEnd w:id="71"/>
      <w:bookmarkStart w:id="72" w:name="_Toc320201270"/>
      <w:bookmarkEnd w:id="72"/>
      <w:bookmarkStart w:id="73" w:name="_Toc320194395"/>
      <w:bookmarkEnd w:id="73"/>
      <w:bookmarkStart w:id="74" w:name="_Toc320268075"/>
      <w:bookmarkEnd w:id="74"/>
      <w:bookmarkStart w:id="75" w:name="_Toc320267603"/>
      <w:bookmarkEnd w:id="75"/>
      <w:bookmarkStart w:id="76" w:name="_Toc320193968"/>
      <w:bookmarkEnd w:id="76"/>
      <w:bookmarkStart w:id="77" w:name="_Toc320195667"/>
      <w:bookmarkEnd w:id="77"/>
      <w:bookmarkStart w:id="78" w:name="_Toc320198917"/>
      <w:bookmarkEnd w:id="78"/>
      <w:bookmarkStart w:id="79" w:name="_Toc320199004"/>
      <w:bookmarkEnd w:id="79"/>
      <w:bookmarkStart w:id="80" w:name="_Toc320265188"/>
      <w:bookmarkEnd w:id="80"/>
      <w:bookmarkStart w:id="81" w:name="_Toc320199244"/>
      <w:bookmarkEnd w:id="81"/>
      <w:bookmarkStart w:id="82" w:name="_Toc320267918"/>
      <w:bookmarkEnd w:id="82"/>
      <w:bookmarkStart w:id="83" w:name="_Toc320267290"/>
      <w:bookmarkEnd w:id="83"/>
      <w:bookmarkStart w:id="84" w:name="_Toc320201269"/>
      <w:bookmarkEnd w:id="84"/>
      <w:bookmarkStart w:id="85" w:name="_Toc320265340"/>
      <w:bookmarkEnd w:id="85"/>
      <w:bookmarkStart w:id="86" w:name="_Toc320195922"/>
      <w:bookmarkEnd w:id="86"/>
      <w:bookmarkStart w:id="87" w:name="_Toc320257043"/>
      <w:bookmarkEnd w:id="87"/>
      <w:bookmarkStart w:id="88" w:name="_Toc320263930"/>
      <w:bookmarkEnd w:id="88"/>
      <w:bookmarkStart w:id="89" w:name="_Toc320265491"/>
      <w:bookmarkEnd w:id="89"/>
      <w:bookmarkStart w:id="90" w:name="_Toc320199299"/>
      <w:bookmarkEnd w:id="90"/>
      <w:bookmarkStart w:id="91" w:name="_Toc320199271"/>
      <w:bookmarkEnd w:id="91"/>
      <w:bookmarkStart w:id="92" w:name="_Toc320267762"/>
      <w:bookmarkEnd w:id="92"/>
      <w:bookmarkStart w:id="93" w:name="_Toc320267446"/>
      <w:bookmarkEnd w:id="93"/>
      <w:bookmarkStart w:id="94" w:name="_Toc320201510"/>
      <w:bookmarkEnd w:id="94"/>
      <w:bookmarkStart w:id="95" w:name="_Toc320201382"/>
      <w:bookmarkEnd w:id="95"/>
      <w:bookmarkStart w:id="96" w:name="_Toc320201302"/>
      <w:bookmarkEnd w:id="96"/>
      <w:bookmarkStart w:id="97" w:name="_Toc320201303"/>
      <w:bookmarkEnd w:id="97"/>
      <w:bookmarkStart w:id="98" w:name="_Toc320199300"/>
      <w:bookmarkEnd w:id="98"/>
      <w:bookmarkStart w:id="99" w:name="_Toc92187030"/>
      <w:bookmarkStart w:id="100" w:name="_Toc31426"/>
      <w:bookmarkStart w:id="101" w:name="_Toc111108462"/>
      <w:bookmarkStart w:id="102" w:name="_Toc5959"/>
      <w:bookmarkStart w:id="103" w:name="_Toc24776"/>
      <w:bookmarkStart w:id="104" w:name="_Toc147222348"/>
      <w:bookmarkStart w:id="105" w:name="_Toc15872"/>
      <w:r>
        <w:rPr>
          <w:rFonts w:hint="eastAsia"/>
        </w:rPr>
        <w:t>目标与范围</w:t>
      </w:r>
      <w:bookmarkEnd w:id="99"/>
      <w:bookmarkEnd w:id="100"/>
      <w:bookmarkEnd w:id="101"/>
      <w:bookmarkEnd w:id="102"/>
      <w:bookmarkEnd w:id="103"/>
      <w:bookmarkEnd w:id="104"/>
      <w:bookmarkEnd w:id="105"/>
    </w:p>
    <w:p>
      <w:pPr>
        <w:pStyle w:val="6"/>
        <w:spacing w:line="360" w:lineRule="auto"/>
        <w:rPr>
          <w:rFonts w:hint="default"/>
        </w:rPr>
      </w:pPr>
      <w:bookmarkStart w:id="106" w:name="_Toc147222349"/>
      <w:bookmarkStart w:id="107" w:name="_Toc19803"/>
      <w:bookmarkStart w:id="108" w:name="_Toc111108463"/>
      <w:bookmarkStart w:id="109" w:name="_Toc27518"/>
      <w:bookmarkStart w:id="110" w:name="_Toc32557"/>
      <w:bookmarkStart w:id="111" w:name="_Toc28010"/>
      <w:r>
        <w:t>总体目标</w:t>
      </w:r>
      <w:bookmarkEnd w:id="106"/>
      <w:bookmarkEnd w:id="107"/>
      <w:bookmarkEnd w:id="108"/>
      <w:bookmarkEnd w:id="109"/>
      <w:bookmarkEnd w:id="110"/>
      <w:bookmarkEnd w:id="111"/>
    </w:p>
    <w:p>
      <w:pPr>
        <w:pStyle w:val="32"/>
        <w:numPr>
          <w:ilvl w:val="0"/>
          <w:numId w:val="3"/>
        </w:numPr>
        <w:spacing w:before="0" w:after="0" w:line="360" w:lineRule="auto"/>
        <w:ind w:firstLine="480"/>
        <w:jc w:val="left"/>
        <w:rPr>
          <w:rFonts w:cs="宋体"/>
          <w:szCs w:val="24"/>
        </w:rPr>
      </w:pPr>
      <w:bookmarkStart w:id="112" w:name="_Toc147160577"/>
      <w:bookmarkEnd w:id="112"/>
      <w:bookmarkStart w:id="113" w:name="_Toc12118"/>
      <w:bookmarkStart w:id="114" w:name="_Toc147222351"/>
      <w:bookmarkStart w:id="115" w:name="_Toc3167"/>
      <w:r>
        <w:rPr>
          <w:rFonts w:cs="宋体"/>
          <w:szCs w:val="24"/>
        </w:rPr>
        <w:t>业务目标</w:t>
      </w:r>
    </w:p>
    <w:p>
      <w:pPr>
        <w:keepNext w:val="0"/>
        <w:keepLines w:val="0"/>
        <w:pageBreakBefore w:val="0"/>
        <w:widowControl w:val="0"/>
        <w:kinsoku/>
        <w:wordWrap/>
        <w:overflowPunct/>
        <w:topLinePunct w:val="0"/>
        <w:autoSpaceDE/>
        <w:autoSpaceDN/>
        <w:bidi w:val="0"/>
        <w:adjustRightInd w:val="0"/>
        <w:snapToGrid/>
        <w:spacing w:before="0" w:after="0" w:line="360" w:lineRule="auto"/>
        <w:ind w:firstLine="480" w:firstLineChars="200"/>
        <w:textAlignment w:val="baseline"/>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w:t>
      </w:r>
      <w:r>
        <w:rPr>
          <w:rFonts w:hint="eastAsia" w:hAnsi="宋体" w:cs="宋体"/>
          <w:kern w:val="0"/>
          <w:sz w:val="24"/>
          <w:szCs w:val="24"/>
          <w:lang w:val="en-US" w:eastAsia="zh-CN" w:bidi="ar-SA"/>
        </w:rPr>
        <w:t>稳定运行：RPA流程涉及国寿海外内部系统OneLife、Ilife、SAP系统及外部网银系统，串联各个系统，实现端到端的业务流程。保障</w:t>
      </w:r>
      <w:r>
        <w:rPr>
          <w:rFonts w:hint="eastAsia" w:ascii="宋体" w:hAnsi="宋体" w:eastAsia="宋体" w:cs="宋体"/>
          <w:kern w:val="0"/>
          <w:sz w:val="24"/>
          <w:szCs w:val="24"/>
          <w:lang w:val="en-US" w:eastAsia="zh-CN" w:bidi="ar-SA"/>
        </w:rPr>
        <w:t>系统</w:t>
      </w:r>
      <w:r>
        <w:rPr>
          <w:rFonts w:hint="eastAsia" w:hAnsi="宋体" w:cs="宋体"/>
          <w:kern w:val="0"/>
          <w:sz w:val="24"/>
          <w:szCs w:val="24"/>
          <w:lang w:val="en-US" w:eastAsia="zh-CN" w:bidi="ar-SA"/>
        </w:rPr>
        <w:t>稳定运行，因业务规则或内外部系统页面微调而同步进行流程优化。</w:t>
      </w:r>
    </w:p>
    <w:p>
      <w:pPr>
        <w:keepNext w:val="0"/>
        <w:keepLines w:val="0"/>
        <w:pageBreakBefore w:val="0"/>
        <w:widowControl w:val="0"/>
        <w:kinsoku/>
        <w:wordWrap/>
        <w:overflowPunct/>
        <w:topLinePunct w:val="0"/>
        <w:autoSpaceDE/>
        <w:autoSpaceDN/>
        <w:bidi w:val="0"/>
        <w:adjustRightInd w:val="0"/>
        <w:snapToGrid/>
        <w:spacing w:before="0" w:after="0" w:line="360" w:lineRule="auto"/>
        <w:ind w:firstLine="480" w:firstLineChars="200"/>
        <w:textAlignment w:val="baseline"/>
        <w:rPr>
          <w:rFonts w:hint="default" w:ascii="宋体" w:hAnsi="宋体" w:eastAsia="宋体" w:cs="宋体"/>
          <w:kern w:val="0"/>
          <w:sz w:val="24"/>
          <w:szCs w:val="24"/>
          <w:lang w:val="en-US" w:eastAsia="zh-CN" w:bidi="ar-SA"/>
        </w:rPr>
      </w:pPr>
      <w:r>
        <w:rPr>
          <w:rFonts w:hint="eastAsia" w:hAnsi="宋体" w:cs="宋体"/>
          <w:kern w:val="0"/>
          <w:sz w:val="24"/>
          <w:szCs w:val="24"/>
          <w:lang w:val="en-US" w:eastAsia="zh-CN" w:bidi="ar-SA"/>
        </w:rPr>
        <w:t>2.效率提升：将重复性、规则度高的工作自动化，通过机器人运行代替手工操作，减少人工操作及加班，使财务团队 70% 以上时间转向经营分析、风险控制等高价值活动，助力</w:t>
      </w:r>
      <w:r>
        <w:rPr>
          <w:rFonts w:hint="eastAsia" w:ascii="宋体" w:hAnsi="宋体" w:eastAsia="宋体" w:cs="宋体"/>
          <w:kern w:val="0"/>
          <w:sz w:val="24"/>
          <w:szCs w:val="24"/>
          <w:lang w:val="en-US" w:eastAsia="zh-CN" w:bidi="ar-SA"/>
        </w:rPr>
        <w:t>香港，澳门，新加坡，信托公司</w:t>
      </w:r>
      <w:r>
        <w:rPr>
          <w:rFonts w:hint="eastAsia" w:hAnsi="宋体" w:cs="宋体"/>
          <w:kern w:val="0"/>
          <w:sz w:val="24"/>
          <w:szCs w:val="24"/>
          <w:lang w:val="en-US" w:eastAsia="zh-CN" w:bidi="ar-SA"/>
        </w:rPr>
        <w:t>财务</w:t>
      </w:r>
      <w:r>
        <w:rPr>
          <w:rFonts w:hint="eastAsia" w:ascii="宋体" w:hAnsi="宋体" w:eastAsia="宋体" w:cs="宋体"/>
          <w:kern w:val="0"/>
          <w:sz w:val="24"/>
          <w:szCs w:val="24"/>
          <w:lang w:val="en-US" w:eastAsia="zh-CN" w:bidi="ar-SA"/>
        </w:rPr>
        <w:t>业务高质量发展</w:t>
      </w:r>
      <w:r>
        <w:rPr>
          <w:rFonts w:hint="eastAsia" w:hAnsi="宋体" w:cs="宋体"/>
          <w:kern w:val="0"/>
          <w:sz w:val="24"/>
          <w:szCs w:val="24"/>
          <w:lang w:val="en-US" w:eastAsia="zh-CN" w:bidi="ar-SA"/>
        </w:rPr>
        <w:t>。</w:t>
      </w:r>
    </w:p>
    <w:p>
      <w:pPr>
        <w:pStyle w:val="32"/>
        <w:keepNext w:val="0"/>
        <w:keepLines w:val="0"/>
        <w:pageBreakBefore w:val="0"/>
        <w:widowControl w:val="0"/>
        <w:numPr>
          <w:ilvl w:val="0"/>
          <w:numId w:val="3"/>
        </w:numPr>
        <w:kinsoku/>
        <w:wordWrap/>
        <w:overflowPunct/>
        <w:topLinePunct w:val="0"/>
        <w:autoSpaceDE/>
        <w:autoSpaceDN/>
        <w:bidi w:val="0"/>
        <w:adjustRightInd w:val="0"/>
        <w:snapToGrid/>
        <w:spacing w:before="0" w:after="0" w:line="360" w:lineRule="auto"/>
        <w:ind w:firstLine="480"/>
        <w:jc w:val="left"/>
        <w:textAlignment w:val="baseline"/>
        <w:rPr>
          <w:rFonts w:hint="default" w:cs="宋体"/>
          <w:szCs w:val="24"/>
        </w:rPr>
      </w:pPr>
      <w:r>
        <w:rPr>
          <w:rFonts w:cs="宋体"/>
          <w:szCs w:val="24"/>
        </w:rPr>
        <w:t>技术目标</w:t>
      </w:r>
    </w:p>
    <w:p>
      <w:pPr>
        <w:pStyle w:val="32"/>
        <w:spacing w:before="0" w:after="0" w:line="360" w:lineRule="auto"/>
        <w:ind w:firstLine="480"/>
        <w:jc w:val="left"/>
        <w:rPr>
          <w:rFonts w:hint="default" w:cs="宋体"/>
          <w:szCs w:val="24"/>
        </w:rPr>
      </w:pPr>
      <w:r>
        <w:rPr>
          <w:rFonts w:cs="宋体"/>
          <w:szCs w:val="24"/>
        </w:rPr>
        <w:t>以业务目标为导向，2</w:t>
      </w:r>
      <w:r>
        <w:rPr>
          <w:rFonts w:hint="default" w:cs="宋体"/>
          <w:szCs w:val="24"/>
        </w:rPr>
        <w:t>025</w:t>
      </w:r>
      <w:r>
        <w:rPr>
          <w:rFonts w:hint="eastAsia" w:cs="宋体"/>
          <w:szCs w:val="24"/>
          <w:lang w:val="en-US" w:eastAsia="zh-CN"/>
        </w:rPr>
        <w:t>-2027</w:t>
      </w:r>
      <w:r>
        <w:rPr>
          <w:rFonts w:cs="宋体"/>
          <w:szCs w:val="24"/>
        </w:rPr>
        <w:t>年</w:t>
      </w:r>
      <w:r>
        <w:rPr>
          <w:rFonts w:hint="eastAsia" w:cs="宋体"/>
          <w:szCs w:val="24"/>
          <w:lang w:val="en-US" w:eastAsia="zh-CN"/>
        </w:rPr>
        <w:t>8月持续协助财务部门</w:t>
      </w:r>
      <w:r>
        <w:rPr>
          <w:rFonts w:cs="宋体"/>
          <w:szCs w:val="24"/>
        </w:rPr>
        <w:t>完成</w:t>
      </w:r>
      <w:r>
        <w:rPr>
          <w:rFonts w:hint="eastAsia" w:cs="宋体"/>
          <w:szCs w:val="24"/>
          <w:lang w:val="en-US" w:eastAsia="zh-CN"/>
        </w:rPr>
        <w:t>痛点问题转换RPA流程化操作（含日常的问题支持、问题解答以及预留的RPA流程建设与改造），</w:t>
      </w:r>
      <w:r>
        <w:rPr>
          <w:rFonts w:cs="宋体"/>
          <w:szCs w:val="24"/>
        </w:rPr>
        <w:t>实现业务流程标准化、自动化及持续改进，显著提升营运效率和响应市场变化的能力。</w:t>
      </w:r>
    </w:p>
    <w:p>
      <w:pPr>
        <w:pStyle w:val="6"/>
        <w:spacing w:line="360" w:lineRule="auto"/>
        <w:rPr>
          <w:rFonts w:hint="default" w:hAnsi="宋体" w:cs="宋体"/>
          <w:kern w:val="0"/>
          <w:szCs w:val="24"/>
        </w:rPr>
      </w:pPr>
      <w:bookmarkStart w:id="116" w:name="_Toc185"/>
      <w:bookmarkStart w:id="117" w:name="_Toc7406"/>
      <w:r>
        <w:t>项目范围</w:t>
      </w:r>
      <w:bookmarkEnd w:id="116"/>
      <w:bookmarkEnd w:id="117"/>
    </w:p>
    <w:p>
      <w:pPr>
        <w:spacing w:before="0" w:after="0"/>
        <w:ind w:firstLine="480"/>
        <w:rPr>
          <w:rFonts w:hint="default"/>
        </w:rPr>
      </w:pPr>
      <w:r>
        <w:t>结合</w:t>
      </w:r>
      <w:r>
        <w:rPr>
          <w:rFonts w:hAnsi="宋体"/>
        </w:rPr>
        <w:t>国寿海外（</w:t>
      </w:r>
      <w:r>
        <w:t>以下别称：甲方</w:t>
      </w:r>
      <w:r>
        <w:rPr>
          <w:rFonts w:hAnsi="宋体"/>
        </w:rPr>
        <w:t>）</w:t>
      </w:r>
      <w:r>
        <w:t>实际情况，本次项目建设范围主要包括但不限于如下：</w:t>
      </w:r>
    </w:p>
    <w:p>
      <w:pPr>
        <w:numPr>
          <w:ilvl w:val="0"/>
          <w:numId w:val="4"/>
        </w:numPr>
        <w:tabs>
          <w:tab w:val="left" w:pos="0"/>
        </w:tabs>
        <w:spacing w:before="0" w:after="0" w:line="560" w:lineRule="exact"/>
        <w:ind w:firstLine="480"/>
        <w:rPr>
          <w:rFonts w:hint="default"/>
        </w:rPr>
      </w:pPr>
      <w:r>
        <w:rPr>
          <w:rFonts w:asciiTheme="minorEastAsia" w:hAnsiTheme="minorEastAsia" w:eastAsiaTheme="minorEastAsia" w:cstheme="minorEastAsia"/>
        </w:rPr>
        <w:t>功能需求</w:t>
      </w:r>
    </w:p>
    <w:p>
      <w:pPr>
        <w:pStyle w:val="32"/>
        <w:spacing w:before="0" w:after="0" w:line="360" w:lineRule="auto"/>
        <w:ind w:firstLine="480"/>
        <w:jc w:val="left"/>
        <w:rPr>
          <w:rFonts w:hint="default" w:cs="宋体"/>
          <w:szCs w:val="24"/>
        </w:rPr>
      </w:pPr>
    </w:p>
    <w:p>
      <w:pPr>
        <w:pStyle w:val="32"/>
        <w:spacing w:before="0" w:after="0" w:line="360" w:lineRule="auto"/>
        <w:ind w:firstLine="480"/>
        <w:jc w:val="left"/>
        <w:rPr>
          <w:rFonts w:hint="default" w:cs="宋体"/>
          <w:szCs w:val="24"/>
        </w:rPr>
      </w:pPr>
      <w:r>
        <w:rPr>
          <w:rFonts w:hint="eastAsia"/>
          <w:snapToGrid w:val="0"/>
          <w:szCs w:val="24"/>
          <w:lang w:val="en-US" w:eastAsia="zh-CN"/>
        </w:rPr>
        <w:t>RPA流程</w:t>
      </w:r>
      <w:r>
        <w:rPr>
          <w:snapToGrid w:val="0"/>
          <w:szCs w:val="24"/>
        </w:rPr>
        <w:t>内容包括但不限于如下：</w:t>
      </w:r>
    </w:p>
    <w:tbl>
      <w:tblPr>
        <w:tblStyle w:val="22"/>
        <w:tblW w:w="8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3"/>
        <w:gridCol w:w="983"/>
        <w:gridCol w:w="6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653" w:type="dxa"/>
            <w:tcBorders>
              <w:top w:val="single" w:color="auto" w:sz="4" w:space="0"/>
              <w:left w:val="single" w:color="auto" w:sz="4" w:space="0"/>
              <w:bottom w:val="single" w:color="auto" w:sz="4" w:space="0"/>
              <w:right w:val="single" w:color="auto" w:sz="4" w:space="0"/>
              <w:tl2br w:val="nil"/>
              <w:tr2bl w:val="nil"/>
            </w:tcBorders>
            <w:shd w:val="clear" w:color="auto" w:fill="E7E6E6" w:themeFill="background2"/>
            <w:vAlign w:val="center"/>
          </w:tcPr>
          <w:p>
            <w:pPr>
              <w:spacing w:before="0" w:after="0" w:line="240" w:lineRule="auto"/>
              <w:ind w:firstLine="0" w:firstLineChars="0"/>
              <w:jc w:val="center"/>
              <w:rPr>
                <w:rFonts w:hint="default" w:asciiTheme="minorEastAsia" w:hAnsiTheme="minorEastAsia" w:eastAsiaTheme="minorEastAsia"/>
                <w:b/>
                <w:bCs/>
                <w:sz w:val="18"/>
                <w:szCs w:val="18"/>
              </w:rPr>
            </w:pPr>
            <w:r>
              <w:rPr>
                <w:rFonts w:asciiTheme="minorEastAsia" w:hAnsiTheme="minorEastAsia" w:eastAsiaTheme="minorEastAsia"/>
                <w:b/>
                <w:bCs/>
                <w:sz w:val="18"/>
                <w:szCs w:val="18"/>
              </w:rPr>
              <w:t>编号</w:t>
            </w:r>
          </w:p>
        </w:tc>
        <w:tc>
          <w:tcPr>
            <w:tcW w:w="983" w:type="dxa"/>
            <w:tcBorders>
              <w:top w:val="single" w:color="auto" w:sz="4" w:space="0"/>
              <w:left w:val="single" w:color="auto" w:sz="4" w:space="0"/>
              <w:bottom w:val="single" w:color="auto" w:sz="4" w:space="0"/>
              <w:right w:val="single" w:color="auto" w:sz="4" w:space="0"/>
              <w:tl2br w:val="nil"/>
              <w:tr2bl w:val="nil"/>
            </w:tcBorders>
            <w:shd w:val="clear" w:color="auto" w:fill="E7E6E6" w:themeFill="background2"/>
            <w:vAlign w:val="center"/>
          </w:tcPr>
          <w:p>
            <w:pPr>
              <w:spacing w:before="0" w:after="0" w:line="240" w:lineRule="auto"/>
              <w:ind w:firstLine="0" w:firstLineChars="0"/>
              <w:jc w:val="center"/>
              <w:rPr>
                <w:rFonts w:hint="eastAsia" w:asciiTheme="minorEastAsia" w:hAnsiTheme="minorEastAsia" w:eastAsiaTheme="minorEastAsia"/>
                <w:b/>
                <w:bCs/>
                <w:sz w:val="18"/>
                <w:szCs w:val="18"/>
                <w:lang w:eastAsia="zh-CN"/>
              </w:rPr>
            </w:pPr>
            <w:r>
              <w:rPr>
                <w:rFonts w:hint="eastAsia" w:asciiTheme="minorEastAsia" w:hAnsiTheme="minorEastAsia" w:eastAsiaTheme="minorEastAsia"/>
                <w:b/>
                <w:bCs/>
                <w:sz w:val="18"/>
                <w:szCs w:val="18"/>
                <w:lang w:val="en-US" w:eastAsia="zh-CN"/>
              </w:rPr>
              <w:t>分类</w:t>
            </w:r>
          </w:p>
        </w:tc>
        <w:tc>
          <w:tcPr>
            <w:tcW w:w="6699" w:type="dxa"/>
            <w:tcBorders>
              <w:top w:val="single" w:color="auto" w:sz="4" w:space="0"/>
              <w:left w:val="single" w:color="auto" w:sz="4" w:space="0"/>
              <w:bottom w:val="single" w:color="auto" w:sz="4" w:space="0"/>
              <w:right w:val="single" w:color="auto" w:sz="4" w:space="0"/>
              <w:tl2br w:val="nil"/>
              <w:tr2bl w:val="nil"/>
            </w:tcBorders>
            <w:shd w:val="clear" w:color="auto" w:fill="E7E6E6" w:themeFill="background2"/>
            <w:vAlign w:val="center"/>
          </w:tcPr>
          <w:p>
            <w:pPr>
              <w:spacing w:before="0" w:after="0" w:line="240" w:lineRule="auto"/>
              <w:ind w:firstLine="0" w:firstLineChars="0"/>
              <w:jc w:val="center"/>
              <w:rPr>
                <w:rFonts w:hint="default" w:asciiTheme="minorEastAsia" w:hAnsiTheme="minorEastAsia" w:eastAsiaTheme="minorEastAsia"/>
                <w:b/>
                <w:bCs/>
                <w:sz w:val="18"/>
                <w:szCs w:val="18"/>
              </w:rPr>
            </w:pPr>
            <w:r>
              <w:rPr>
                <w:rFonts w:hint="eastAsia" w:asciiTheme="minorEastAsia" w:hAnsiTheme="minorEastAsia" w:eastAsiaTheme="minorEastAsia"/>
                <w:b/>
                <w:bCs/>
                <w:sz w:val="18"/>
                <w:szCs w:val="18"/>
                <w:lang w:val="en-US" w:eastAsia="zh-CN"/>
              </w:rPr>
              <w:t>内容</w:t>
            </w:r>
            <w:r>
              <w:rPr>
                <w:rFonts w:asciiTheme="minorEastAsia" w:hAnsiTheme="minorEastAsia" w:eastAsiaTheme="minorEastAsia"/>
                <w:b/>
                <w:bCs/>
                <w:sz w:val="18"/>
                <w:szCs w:val="1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653" w:type="dxa"/>
            <w:tcBorders>
              <w:top w:val="single" w:color="auto" w:sz="4" w:space="0"/>
              <w:left w:val="single" w:color="auto" w:sz="4" w:space="0"/>
              <w:bottom w:val="single" w:color="auto" w:sz="4" w:space="0"/>
              <w:right w:val="single" w:color="auto" w:sz="4" w:space="0"/>
              <w:tl2br w:val="nil"/>
              <w:tr2bl w:val="nil"/>
            </w:tcBorders>
            <w:vAlign w:val="center"/>
          </w:tcPr>
          <w:p>
            <w:pPr>
              <w:spacing w:before="0" w:after="0" w:line="240" w:lineRule="auto"/>
              <w:ind w:firstLine="0" w:firstLineChars="0"/>
              <w:jc w:val="center"/>
              <w:rPr>
                <w:rFonts w:hint="default" w:asciiTheme="minorEastAsia" w:hAnsiTheme="minorEastAsia" w:eastAsiaTheme="minorEastAsia"/>
                <w:sz w:val="18"/>
                <w:szCs w:val="18"/>
              </w:rPr>
            </w:pPr>
            <w:r>
              <w:rPr>
                <w:rFonts w:hint="default" w:asciiTheme="minorEastAsia" w:hAnsiTheme="minorEastAsia" w:eastAsiaTheme="minorEastAsia"/>
                <w:sz w:val="18"/>
                <w:szCs w:val="18"/>
              </w:rPr>
              <w:t>1</w:t>
            </w:r>
          </w:p>
        </w:tc>
        <w:tc>
          <w:tcPr>
            <w:tcW w:w="983" w:type="dxa"/>
            <w:tcBorders>
              <w:top w:val="single" w:color="auto" w:sz="4" w:space="0"/>
              <w:left w:val="single" w:color="auto" w:sz="4" w:space="0"/>
              <w:bottom w:val="single" w:color="auto" w:sz="4" w:space="0"/>
              <w:right w:val="single" w:color="auto" w:sz="4" w:space="0"/>
              <w:tl2br w:val="nil"/>
              <w:tr2bl w:val="nil"/>
            </w:tcBorders>
            <w:vAlign w:val="center"/>
          </w:tcPr>
          <w:p>
            <w:pPr>
              <w:spacing w:before="0" w:after="0" w:line="240" w:lineRule="auto"/>
              <w:ind w:firstLine="0" w:firstLineChars="0"/>
              <w:jc w:val="center"/>
              <w:rPr>
                <w:rFonts w:hint="default" w:asciiTheme="minorEastAsia" w:hAnsiTheme="minorEastAsia" w:eastAsiaTheme="minorEastAsia"/>
                <w:sz w:val="18"/>
                <w:szCs w:val="18"/>
                <w:lang w:val="en-US" w:eastAsia="zh-CN"/>
              </w:rPr>
            </w:pPr>
            <w:r>
              <w:rPr>
                <w:rFonts w:hint="eastAsia" w:asciiTheme="minorEastAsia" w:hAnsiTheme="minorEastAsia" w:eastAsiaTheme="minorEastAsia"/>
                <w:sz w:val="18"/>
                <w:szCs w:val="18"/>
                <w:lang w:val="en-US" w:eastAsia="zh-CN"/>
              </w:rPr>
              <w:t>运维服务</w:t>
            </w:r>
          </w:p>
        </w:tc>
        <w:tc>
          <w:tcPr>
            <w:tcW w:w="6699" w:type="dxa"/>
            <w:tcBorders>
              <w:top w:val="single" w:color="auto" w:sz="4" w:space="0"/>
              <w:left w:val="single" w:color="auto" w:sz="4" w:space="0"/>
              <w:bottom w:val="single" w:color="auto" w:sz="4" w:space="0"/>
              <w:right w:val="single" w:color="auto" w:sz="4" w:space="0"/>
              <w:tl2br w:val="nil"/>
              <w:tr2bl w:val="nil"/>
            </w:tcBorders>
            <w:vAlign w:val="center"/>
          </w:tcPr>
          <w:p>
            <w:pPr>
              <w:pStyle w:val="2"/>
              <w:spacing w:before="0" w:after="0" w:line="240" w:lineRule="auto"/>
              <w:ind w:firstLine="0" w:firstLineChars="0"/>
              <w:rPr>
                <w:rFonts w:hint="default" w:eastAsiaTheme="minorEastAsia"/>
                <w:sz w:val="18"/>
                <w:szCs w:val="18"/>
              </w:rPr>
            </w:pPr>
            <w:r>
              <w:rPr>
                <w:rFonts w:eastAsiaTheme="minorEastAsia"/>
                <w:sz w:val="18"/>
                <w:szCs w:val="18"/>
              </w:rPr>
              <w:t xml:space="preserve"> </w:t>
            </w:r>
            <w:r>
              <w:rPr>
                <w:rFonts w:hint="eastAsia" w:cs="Times New Roman" w:asciiTheme="minorEastAsia" w:hAnsiTheme="minorEastAsia" w:eastAsiaTheme="minorEastAsia"/>
                <w:kern w:val="2"/>
                <w:sz w:val="18"/>
                <w:szCs w:val="18"/>
                <w:lang w:val="en-US" w:eastAsia="zh-CN" w:bidi="ar-SA"/>
              </w:rPr>
              <w:t>保障现有流程稳定运行，对现有的流程进行梳理，涉及界面、系统元素的变化、涉及表格格式变更，RPA代码进行相应的适配性改造和迭代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653" w:type="dxa"/>
            <w:tcBorders>
              <w:top w:val="single" w:color="auto" w:sz="4" w:space="0"/>
              <w:left w:val="single" w:color="auto" w:sz="4" w:space="0"/>
              <w:bottom w:val="single" w:color="auto" w:sz="4" w:space="0"/>
              <w:right w:val="single" w:color="auto" w:sz="4" w:space="0"/>
              <w:tl2br w:val="nil"/>
              <w:tr2bl w:val="nil"/>
            </w:tcBorders>
            <w:vAlign w:val="center"/>
          </w:tcPr>
          <w:p>
            <w:pPr>
              <w:spacing w:before="0" w:after="0" w:line="240" w:lineRule="auto"/>
              <w:ind w:firstLine="0" w:firstLineChars="0"/>
              <w:jc w:val="center"/>
              <w:rPr>
                <w:rFonts w:hint="default" w:asciiTheme="minorEastAsia" w:hAnsiTheme="minorEastAsia" w:eastAsiaTheme="minorEastAsia"/>
                <w:sz w:val="18"/>
                <w:szCs w:val="18"/>
              </w:rPr>
            </w:pPr>
            <w:r>
              <w:rPr>
                <w:rFonts w:hint="default" w:asciiTheme="minorEastAsia" w:hAnsiTheme="minorEastAsia" w:eastAsiaTheme="minorEastAsia"/>
                <w:sz w:val="18"/>
                <w:szCs w:val="18"/>
              </w:rPr>
              <w:t>2</w:t>
            </w:r>
          </w:p>
        </w:tc>
        <w:tc>
          <w:tcPr>
            <w:tcW w:w="983" w:type="dxa"/>
            <w:tcBorders>
              <w:top w:val="single" w:color="auto" w:sz="4" w:space="0"/>
              <w:left w:val="single" w:color="auto" w:sz="4" w:space="0"/>
              <w:bottom w:val="single" w:color="auto" w:sz="4" w:space="0"/>
              <w:right w:val="single" w:color="auto" w:sz="4" w:space="0"/>
              <w:tl2br w:val="nil"/>
              <w:tr2bl w:val="nil"/>
            </w:tcBorders>
            <w:vAlign w:val="center"/>
          </w:tcPr>
          <w:p>
            <w:pPr>
              <w:spacing w:before="0" w:after="0" w:line="240" w:lineRule="auto"/>
              <w:ind w:firstLine="0" w:firstLineChars="0"/>
              <w:jc w:val="center"/>
              <w:rPr>
                <w:rFonts w:hint="default" w:asciiTheme="minorEastAsia" w:hAnsiTheme="minorEastAsia" w:eastAsiaTheme="minorEastAsia"/>
                <w:sz w:val="18"/>
                <w:szCs w:val="18"/>
                <w:lang w:val="en-US" w:eastAsia="zh-CN"/>
              </w:rPr>
            </w:pPr>
            <w:r>
              <w:rPr>
                <w:rFonts w:hint="eastAsia" w:asciiTheme="minorEastAsia" w:hAnsiTheme="minorEastAsia" w:eastAsiaTheme="minorEastAsia"/>
                <w:sz w:val="18"/>
                <w:szCs w:val="18"/>
                <w:lang w:val="en-US" w:eastAsia="zh-CN"/>
              </w:rPr>
              <w:t>流程支持</w:t>
            </w:r>
          </w:p>
        </w:tc>
        <w:tc>
          <w:tcPr>
            <w:tcW w:w="6699" w:type="dxa"/>
            <w:tcBorders>
              <w:top w:val="single" w:color="auto" w:sz="4" w:space="0"/>
              <w:left w:val="single" w:color="auto" w:sz="4" w:space="0"/>
              <w:bottom w:val="single" w:color="auto" w:sz="4" w:space="0"/>
              <w:right w:val="single" w:color="auto" w:sz="4" w:space="0"/>
              <w:tl2br w:val="nil"/>
              <w:tr2bl w:val="nil"/>
            </w:tcBorders>
            <w:vAlign w:val="center"/>
          </w:tcPr>
          <w:p>
            <w:pPr>
              <w:spacing w:before="0" w:after="0" w:line="240" w:lineRule="auto"/>
              <w:ind w:firstLine="0" w:firstLineChars="0"/>
              <w:jc w:val="left"/>
              <w:rPr>
                <w:rFonts w:hint="default" w:asciiTheme="minorEastAsia" w:hAnsiTheme="minorEastAsia" w:eastAsiaTheme="minorEastAsia"/>
                <w:sz w:val="18"/>
                <w:szCs w:val="18"/>
              </w:rPr>
            </w:pPr>
            <w:r>
              <w:rPr>
                <w:rFonts w:hint="eastAsia" w:asciiTheme="minorEastAsia" w:hAnsiTheme="minorEastAsia" w:eastAsiaTheme="minorEastAsia"/>
                <w:sz w:val="18"/>
                <w:szCs w:val="18"/>
                <w:lang w:val="en-US" w:eastAsia="zh-CN"/>
              </w:rPr>
              <w:t>对已有业务流程</w:t>
            </w:r>
            <w:r>
              <w:rPr>
                <w:rFonts w:hint="default" w:asciiTheme="minorEastAsia" w:hAnsiTheme="minorEastAsia" w:eastAsiaTheme="minorEastAsia"/>
                <w:sz w:val="18"/>
                <w:szCs w:val="18"/>
              </w:rPr>
              <w:t>场景基础运维</w:t>
            </w:r>
            <w:r>
              <w:rPr>
                <w:rFonts w:hint="eastAsia" w:asciiTheme="minorEastAsia" w:hAnsiTheme="minorEastAsia" w:eastAsiaTheme="minorEastAsia"/>
                <w:sz w:val="18"/>
                <w:szCs w:val="18"/>
                <w:lang w:val="en-US" w:eastAsia="zh-CN"/>
              </w:rPr>
              <w:t>包括：</w:t>
            </w:r>
            <w:r>
              <w:rPr>
                <w:rFonts w:hint="default" w:asciiTheme="minorEastAsia" w:hAnsiTheme="minorEastAsia" w:eastAsiaTheme="minorEastAsia"/>
                <w:sz w:val="18"/>
                <w:szCs w:val="18"/>
              </w:rPr>
              <w:t>场景运行监控、调度管理、问题诊断、常见问题修复、应急处理、日志分析、合规检查、问题手册更新、用户咨询支持、业务沟通等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653" w:type="dxa"/>
            <w:tcBorders>
              <w:top w:val="single" w:color="auto" w:sz="4" w:space="0"/>
              <w:left w:val="single" w:color="auto" w:sz="4" w:space="0"/>
              <w:bottom w:val="single" w:color="auto" w:sz="4" w:space="0"/>
              <w:right w:val="single" w:color="auto" w:sz="4" w:space="0"/>
              <w:tl2br w:val="nil"/>
              <w:tr2bl w:val="nil"/>
            </w:tcBorders>
            <w:vAlign w:val="center"/>
          </w:tcPr>
          <w:p>
            <w:pPr>
              <w:spacing w:before="0" w:after="0" w:line="240" w:lineRule="auto"/>
              <w:ind w:firstLine="0" w:firstLineChars="0"/>
              <w:jc w:val="center"/>
              <w:rPr>
                <w:rFonts w:hint="default" w:asciiTheme="minorEastAsia" w:hAnsiTheme="minorEastAsia" w:eastAsiaTheme="minorEastAsia"/>
                <w:sz w:val="18"/>
                <w:szCs w:val="18"/>
              </w:rPr>
            </w:pPr>
            <w:r>
              <w:rPr>
                <w:rFonts w:hint="default" w:asciiTheme="minorEastAsia" w:hAnsiTheme="minorEastAsia" w:eastAsiaTheme="minorEastAsia"/>
                <w:sz w:val="18"/>
                <w:szCs w:val="18"/>
              </w:rPr>
              <w:t>3</w:t>
            </w:r>
          </w:p>
        </w:tc>
        <w:tc>
          <w:tcPr>
            <w:tcW w:w="983" w:type="dxa"/>
            <w:tcBorders>
              <w:top w:val="single" w:color="auto" w:sz="4" w:space="0"/>
              <w:left w:val="single" w:color="auto" w:sz="4" w:space="0"/>
              <w:bottom w:val="single" w:color="auto" w:sz="4" w:space="0"/>
              <w:right w:val="single" w:color="auto" w:sz="4" w:space="0"/>
              <w:tl2br w:val="nil"/>
              <w:tr2bl w:val="nil"/>
            </w:tcBorders>
            <w:vAlign w:val="center"/>
          </w:tcPr>
          <w:p>
            <w:pPr>
              <w:spacing w:before="0" w:after="0" w:line="240" w:lineRule="auto"/>
              <w:ind w:firstLine="0" w:firstLineChars="0"/>
              <w:jc w:val="center"/>
              <w:rPr>
                <w:rFonts w:hint="default" w:asciiTheme="minorEastAsia" w:hAnsiTheme="minorEastAsia" w:eastAsiaTheme="minorEastAsia"/>
                <w:sz w:val="18"/>
                <w:szCs w:val="18"/>
                <w:lang w:val="en-US" w:eastAsia="zh-CN"/>
              </w:rPr>
            </w:pPr>
            <w:r>
              <w:rPr>
                <w:rFonts w:hint="eastAsia" w:asciiTheme="minorEastAsia" w:hAnsiTheme="minorEastAsia" w:eastAsiaTheme="minorEastAsia"/>
                <w:sz w:val="18"/>
                <w:szCs w:val="18"/>
                <w:lang w:val="en-US" w:eastAsia="zh-CN"/>
              </w:rPr>
              <w:t>需求变更</w:t>
            </w:r>
          </w:p>
        </w:tc>
        <w:tc>
          <w:tcPr>
            <w:tcW w:w="6699" w:type="dxa"/>
            <w:tcBorders>
              <w:top w:val="single" w:color="auto" w:sz="4" w:space="0"/>
              <w:left w:val="single" w:color="auto" w:sz="4" w:space="0"/>
              <w:bottom w:val="single" w:color="auto" w:sz="4" w:space="0"/>
              <w:right w:val="single" w:color="auto" w:sz="4" w:space="0"/>
              <w:tl2br w:val="nil"/>
              <w:tr2bl w:val="nil"/>
            </w:tcBorders>
            <w:vAlign w:val="center"/>
          </w:tcPr>
          <w:p>
            <w:pPr>
              <w:spacing w:before="0" w:after="0" w:line="240" w:lineRule="auto"/>
              <w:ind w:firstLine="0" w:firstLineChars="0"/>
              <w:jc w:val="left"/>
              <w:rPr>
                <w:rFonts w:hint="default" w:asciiTheme="minorEastAsia" w:hAnsiTheme="minorEastAsia" w:eastAsiaTheme="minorEastAsia"/>
                <w:sz w:val="18"/>
                <w:szCs w:val="18"/>
                <w:lang w:val="en-US" w:eastAsia="zh-CN"/>
              </w:rPr>
            </w:pPr>
            <w:r>
              <w:rPr>
                <w:rFonts w:hint="eastAsia" w:asciiTheme="minorEastAsia" w:hAnsiTheme="minorEastAsia" w:eastAsiaTheme="minorEastAsia"/>
                <w:sz w:val="18"/>
                <w:szCs w:val="18"/>
                <w:lang w:val="en-US" w:eastAsia="zh-CN"/>
              </w:rPr>
              <w:t>对用户新提出的需求或有变更需求的流程，进行开发工作，流程图绘制、流程说明文档、解决方案文档、用户手册等项目相关文档撰写更新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653" w:type="dxa"/>
            <w:tcBorders>
              <w:top w:val="single" w:color="auto" w:sz="4" w:space="0"/>
              <w:left w:val="single" w:color="auto" w:sz="4" w:space="0"/>
              <w:bottom w:val="single" w:color="auto" w:sz="4" w:space="0"/>
              <w:right w:val="single" w:color="auto" w:sz="4" w:space="0"/>
              <w:tl2br w:val="nil"/>
              <w:tr2bl w:val="nil"/>
            </w:tcBorders>
            <w:vAlign w:val="center"/>
          </w:tcPr>
          <w:p>
            <w:pPr>
              <w:spacing w:before="0" w:after="0" w:line="240" w:lineRule="auto"/>
              <w:ind w:firstLine="0" w:firstLineChars="0"/>
              <w:jc w:val="center"/>
              <w:rPr>
                <w:rFonts w:hint="default" w:asciiTheme="minorEastAsia" w:hAnsiTheme="minorEastAsia" w:eastAsiaTheme="minorEastAsia"/>
                <w:sz w:val="18"/>
                <w:szCs w:val="18"/>
              </w:rPr>
            </w:pPr>
            <w:r>
              <w:rPr>
                <w:rFonts w:hint="default" w:asciiTheme="minorEastAsia" w:hAnsiTheme="minorEastAsia" w:eastAsiaTheme="minorEastAsia"/>
                <w:sz w:val="18"/>
                <w:szCs w:val="18"/>
              </w:rPr>
              <w:t>4</w:t>
            </w:r>
          </w:p>
        </w:tc>
        <w:tc>
          <w:tcPr>
            <w:tcW w:w="983" w:type="dxa"/>
            <w:tcBorders>
              <w:top w:val="single" w:color="auto" w:sz="4" w:space="0"/>
              <w:left w:val="single" w:color="auto" w:sz="4" w:space="0"/>
              <w:bottom w:val="single" w:color="auto" w:sz="4" w:space="0"/>
              <w:right w:val="single" w:color="auto" w:sz="4" w:space="0"/>
              <w:tl2br w:val="nil"/>
              <w:tr2bl w:val="nil"/>
            </w:tcBorders>
            <w:vAlign w:val="center"/>
          </w:tcPr>
          <w:p>
            <w:pPr>
              <w:spacing w:before="0" w:after="0" w:line="240" w:lineRule="auto"/>
              <w:ind w:firstLine="0" w:firstLineChars="0"/>
              <w:jc w:val="center"/>
              <w:rPr>
                <w:rFonts w:hint="default" w:asciiTheme="minorEastAsia" w:hAnsiTheme="minorEastAsia" w:eastAsiaTheme="minorEastAsia"/>
                <w:sz w:val="18"/>
                <w:szCs w:val="18"/>
                <w:lang w:val="en-US" w:eastAsia="zh-CN"/>
              </w:rPr>
            </w:pPr>
            <w:r>
              <w:rPr>
                <w:rFonts w:hint="eastAsia" w:asciiTheme="minorEastAsia" w:hAnsiTheme="minorEastAsia" w:eastAsiaTheme="minorEastAsia"/>
                <w:sz w:val="18"/>
                <w:szCs w:val="18"/>
                <w:lang w:val="en-US" w:eastAsia="zh-CN"/>
              </w:rPr>
              <w:t>软件支持</w:t>
            </w:r>
          </w:p>
        </w:tc>
        <w:tc>
          <w:tcPr>
            <w:tcW w:w="6699" w:type="dxa"/>
            <w:tcBorders>
              <w:top w:val="single" w:color="auto" w:sz="4" w:space="0"/>
              <w:left w:val="single" w:color="auto" w:sz="4" w:space="0"/>
              <w:bottom w:val="single" w:color="auto" w:sz="4" w:space="0"/>
              <w:right w:val="single" w:color="auto" w:sz="4" w:space="0"/>
              <w:tl2br w:val="nil"/>
              <w:tr2bl w:val="nil"/>
            </w:tcBorders>
            <w:vAlign w:val="center"/>
          </w:tcPr>
          <w:p>
            <w:pPr>
              <w:spacing w:before="0" w:after="0" w:line="240" w:lineRule="auto"/>
              <w:ind w:firstLine="0" w:firstLineChars="0"/>
              <w:jc w:val="left"/>
              <w:rPr>
                <w:rFonts w:hint="default" w:asciiTheme="minorEastAsia" w:hAnsiTheme="minorEastAsia" w:eastAsiaTheme="minorEastAsia"/>
                <w:sz w:val="18"/>
                <w:szCs w:val="18"/>
              </w:rPr>
            </w:pPr>
            <w:r>
              <w:rPr>
                <w:rFonts w:hint="eastAsia" w:asciiTheme="minorEastAsia" w:hAnsiTheme="minorEastAsia" w:eastAsiaTheme="minorEastAsia"/>
                <w:sz w:val="18"/>
                <w:szCs w:val="18"/>
                <w:lang w:val="en-US" w:eastAsia="zh-CN"/>
              </w:rPr>
              <w:t>保证Uipath软件、保证相关RPA软件系统保持可用，以及可能性的升级、迁移工作、更换机器、环境部署等工作提供技术支持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653" w:type="dxa"/>
            <w:tcBorders>
              <w:top w:val="single" w:color="auto" w:sz="4" w:space="0"/>
              <w:left w:val="single" w:color="auto" w:sz="4" w:space="0"/>
              <w:bottom w:val="single" w:color="auto" w:sz="4" w:space="0"/>
              <w:right w:val="single" w:color="auto" w:sz="4" w:space="0"/>
              <w:tl2br w:val="nil"/>
              <w:tr2bl w:val="nil"/>
            </w:tcBorders>
            <w:vAlign w:val="center"/>
          </w:tcPr>
          <w:p>
            <w:pPr>
              <w:spacing w:before="0" w:after="0" w:line="240" w:lineRule="auto"/>
              <w:ind w:firstLine="0" w:firstLineChars="0"/>
              <w:jc w:val="center"/>
              <w:rPr>
                <w:rFonts w:hint="default" w:asciiTheme="minorEastAsia" w:hAnsiTheme="minorEastAsia" w:eastAsiaTheme="minorEastAsia"/>
                <w:sz w:val="18"/>
                <w:szCs w:val="18"/>
              </w:rPr>
            </w:pPr>
            <w:r>
              <w:rPr>
                <w:rFonts w:hint="default" w:asciiTheme="minorEastAsia" w:hAnsiTheme="minorEastAsia" w:eastAsiaTheme="minorEastAsia"/>
                <w:sz w:val="18"/>
                <w:szCs w:val="18"/>
              </w:rPr>
              <w:t>5</w:t>
            </w:r>
          </w:p>
        </w:tc>
        <w:tc>
          <w:tcPr>
            <w:tcW w:w="983" w:type="dxa"/>
            <w:tcBorders>
              <w:top w:val="single" w:color="auto" w:sz="4" w:space="0"/>
              <w:left w:val="single" w:color="auto" w:sz="4" w:space="0"/>
              <w:bottom w:val="single" w:color="auto" w:sz="4" w:space="0"/>
              <w:right w:val="single" w:color="auto" w:sz="4" w:space="0"/>
              <w:tl2br w:val="nil"/>
              <w:tr2bl w:val="nil"/>
            </w:tcBorders>
            <w:vAlign w:val="center"/>
          </w:tcPr>
          <w:p>
            <w:pPr>
              <w:spacing w:before="0" w:after="0" w:line="240" w:lineRule="auto"/>
              <w:ind w:firstLine="0" w:firstLineChars="0"/>
              <w:jc w:val="center"/>
              <w:rPr>
                <w:rFonts w:hint="default" w:asciiTheme="minorEastAsia" w:hAnsiTheme="minorEastAsia" w:eastAsiaTheme="minorEastAsia"/>
                <w:sz w:val="18"/>
                <w:szCs w:val="18"/>
                <w:lang w:val="en-US" w:eastAsia="zh-CN"/>
              </w:rPr>
            </w:pPr>
            <w:r>
              <w:rPr>
                <w:rFonts w:hint="eastAsia" w:asciiTheme="minorEastAsia" w:hAnsiTheme="minorEastAsia" w:eastAsiaTheme="minorEastAsia"/>
                <w:sz w:val="18"/>
                <w:szCs w:val="18"/>
                <w:lang w:val="en-US" w:eastAsia="zh-CN"/>
              </w:rPr>
              <w:t>培训支持</w:t>
            </w:r>
          </w:p>
        </w:tc>
        <w:tc>
          <w:tcPr>
            <w:tcW w:w="6699" w:type="dxa"/>
            <w:tcBorders>
              <w:top w:val="single" w:color="auto" w:sz="4" w:space="0"/>
              <w:left w:val="single" w:color="auto" w:sz="4" w:space="0"/>
              <w:bottom w:val="single" w:color="auto" w:sz="4" w:space="0"/>
              <w:right w:val="single" w:color="auto" w:sz="4" w:space="0"/>
              <w:tl2br w:val="nil"/>
              <w:tr2bl w:val="nil"/>
            </w:tcBorders>
            <w:vAlign w:val="center"/>
          </w:tcPr>
          <w:p>
            <w:pPr>
              <w:spacing w:before="0" w:after="0" w:line="240" w:lineRule="auto"/>
              <w:ind w:firstLine="0" w:firstLineChars="0"/>
              <w:jc w:val="left"/>
              <w:rPr>
                <w:rFonts w:hint="default" w:asciiTheme="minorEastAsia" w:hAnsiTheme="minorEastAsia" w:eastAsiaTheme="minorEastAsia"/>
                <w:sz w:val="18"/>
                <w:szCs w:val="18"/>
              </w:rPr>
            </w:pPr>
            <w:r>
              <w:rPr>
                <w:rFonts w:hint="eastAsia" w:asciiTheme="minorEastAsia" w:hAnsiTheme="minorEastAsia" w:eastAsiaTheme="minorEastAsia"/>
                <w:sz w:val="18"/>
                <w:szCs w:val="18"/>
                <w:lang w:val="en-US" w:eastAsia="zh-CN"/>
              </w:rPr>
              <w:t>对于新接手RPA流程的用户进行使用培训及解答，熟悉RPA使用，上下游流程查错，减少未来运维事项；培训内部IT人员，使其初步掌握RPA技术，形成知识库，减少对外部的依赖</w:t>
            </w:r>
          </w:p>
        </w:tc>
      </w:tr>
    </w:tbl>
    <w:p>
      <w:pPr>
        <w:numPr>
          <w:ilvl w:val="0"/>
          <w:numId w:val="4"/>
        </w:numPr>
        <w:tabs>
          <w:tab w:val="left" w:pos="0"/>
        </w:tabs>
        <w:spacing w:before="0" w:after="0" w:line="560" w:lineRule="exact"/>
        <w:ind w:firstLine="480"/>
        <w:rPr>
          <w:rFonts w:hint="default" w:asciiTheme="minorEastAsia" w:hAnsiTheme="minorEastAsia" w:eastAsiaTheme="minorEastAsia" w:cstheme="minorEastAsia"/>
        </w:rPr>
      </w:pPr>
      <w:r>
        <w:rPr>
          <w:rFonts w:asciiTheme="minorEastAsia" w:hAnsiTheme="minorEastAsia" w:eastAsiaTheme="minorEastAsia" w:cstheme="minorEastAsia"/>
        </w:rPr>
        <w:t>实施需求</w:t>
      </w:r>
    </w:p>
    <w:p>
      <w:pPr>
        <w:numPr>
          <w:ilvl w:val="0"/>
          <w:numId w:val="5"/>
        </w:numPr>
        <w:tabs>
          <w:tab w:val="left" w:pos="0"/>
        </w:tabs>
        <w:spacing w:before="0" w:after="0" w:line="560" w:lineRule="exact"/>
        <w:ind w:firstLineChars="0"/>
        <w:rPr>
          <w:rFonts w:hint="default" w:asciiTheme="minorEastAsia" w:hAnsiTheme="minorEastAsia" w:eastAsiaTheme="minorEastAsia" w:cstheme="minorEastAsia"/>
        </w:rPr>
      </w:pPr>
      <w:r>
        <w:rPr>
          <w:rFonts w:cs="宋体"/>
          <w:szCs w:val="22"/>
        </w:rPr>
        <w:t>★</w:t>
      </w:r>
      <w:r>
        <w:rPr>
          <w:rFonts w:hint="eastAsia" w:asciiTheme="minorEastAsia" w:hAnsiTheme="minorEastAsia" w:eastAsiaTheme="minorEastAsia" w:cstheme="minorEastAsia"/>
          <w:lang w:val="en-US" w:eastAsia="zh-CN"/>
        </w:rPr>
        <w:t>保障流程稳定运行</w:t>
      </w:r>
      <w:r>
        <w:rPr>
          <w:rFonts w:asciiTheme="minorEastAsia" w:hAnsiTheme="minorEastAsia" w:eastAsiaTheme="minorEastAsia" w:cstheme="minorEastAsia"/>
        </w:rPr>
        <w:t>，</w:t>
      </w:r>
      <w:r>
        <w:rPr>
          <w:rFonts w:hint="eastAsia" w:asciiTheme="minorEastAsia" w:hAnsiTheme="minorEastAsia" w:eastAsiaTheme="minorEastAsia" w:cstheme="minorEastAsia"/>
          <w:lang w:val="en-US" w:eastAsia="zh-CN"/>
        </w:rPr>
        <w:t>能根据变化的需求对流程进行优化，</w:t>
      </w:r>
      <w:r>
        <w:rPr>
          <w:rFonts w:asciiTheme="minorEastAsia" w:hAnsiTheme="minorEastAsia" w:eastAsiaTheme="minorEastAsia" w:cstheme="minorEastAsia"/>
        </w:rPr>
        <w:t>能支撑</w:t>
      </w:r>
      <w:r>
        <w:rPr>
          <w:rFonts w:hint="eastAsia" w:asciiTheme="minorEastAsia" w:hAnsiTheme="minorEastAsia" w:eastAsiaTheme="minorEastAsia" w:cstheme="minorEastAsia"/>
          <w:lang w:val="en-US" w:eastAsia="zh-CN"/>
        </w:rPr>
        <w:t>流程</w:t>
      </w:r>
      <w:r>
        <w:rPr>
          <w:rFonts w:asciiTheme="minorEastAsia" w:hAnsiTheme="minorEastAsia" w:eastAsiaTheme="minorEastAsia" w:cstheme="minorEastAsia"/>
        </w:rPr>
        <w:t>日常运营作业。</w:t>
      </w:r>
    </w:p>
    <w:p>
      <w:pPr>
        <w:numPr>
          <w:ilvl w:val="0"/>
          <w:numId w:val="5"/>
        </w:numPr>
        <w:tabs>
          <w:tab w:val="left" w:pos="0"/>
        </w:tabs>
        <w:spacing w:before="0" w:after="0" w:line="560" w:lineRule="exact"/>
        <w:ind w:firstLineChars="0"/>
        <w:rPr>
          <w:rFonts w:hint="default" w:asciiTheme="minorEastAsia" w:hAnsiTheme="minorEastAsia" w:eastAsiaTheme="minorEastAsia" w:cstheme="minorEastAsia"/>
        </w:rPr>
      </w:pPr>
      <w:r>
        <w:rPr>
          <w:rFonts w:cs="宋体"/>
          <w:szCs w:val="22"/>
        </w:rPr>
        <w:t>★</w:t>
      </w:r>
      <w:r>
        <w:rPr>
          <w:rFonts w:asciiTheme="minorEastAsia" w:hAnsiTheme="minorEastAsia" w:eastAsiaTheme="minorEastAsia" w:cstheme="minorEastAsia"/>
        </w:rPr>
        <w:t>以业务目标为导向</w:t>
      </w:r>
      <w:r>
        <w:rPr>
          <w:rFonts w:hint="eastAsia" w:asciiTheme="minorEastAsia" w:hAnsiTheme="minorEastAsia" w:eastAsiaTheme="minorEastAsia" w:cstheme="minorEastAsia"/>
          <w:lang w:eastAsia="zh-CN"/>
        </w:rPr>
        <w:t>，</w:t>
      </w:r>
      <w:r>
        <w:rPr>
          <w:rFonts w:asciiTheme="minorEastAsia" w:hAnsiTheme="minorEastAsia" w:eastAsiaTheme="minorEastAsia" w:cstheme="minorEastAsia"/>
        </w:rPr>
        <w:t>满足与内外部系统对接需求。</w:t>
      </w:r>
      <w:r>
        <w:rPr>
          <w:rFonts w:hint="eastAsia" w:asciiTheme="minorEastAsia" w:hAnsiTheme="minorEastAsia" w:eastAsiaTheme="minorEastAsia" w:cstheme="minorEastAsia"/>
          <w:lang w:val="en-US" w:eastAsia="zh-CN"/>
        </w:rPr>
        <w:t>涉及到数据管理、票据管理、报表管理、清单核对、资金核对、收费核对、往来账款数据、财务基础数据维护等业务板块，实现端到端的业务流程。</w:t>
      </w:r>
    </w:p>
    <w:p>
      <w:pPr>
        <w:numPr>
          <w:ilvl w:val="0"/>
          <w:numId w:val="4"/>
        </w:numPr>
        <w:tabs>
          <w:tab w:val="left" w:pos="0"/>
        </w:tabs>
        <w:spacing w:before="0" w:after="0" w:line="560" w:lineRule="exact"/>
        <w:ind w:firstLine="480"/>
        <w:rPr>
          <w:rFonts w:hint="default" w:asciiTheme="minorEastAsia" w:hAnsiTheme="minorEastAsia" w:eastAsiaTheme="minorEastAsia" w:cstheme="minorEastAsia"/>
        </w:rPr>
      </w:pPr>
      <w:r>
        <w:rPr>
          <w:rFonts w:asciiTheme="minorEastAsia" w:hAnsiTheme="minorEastAsia" w:eastAsiaTheme="minorEastAsia" w:cstheme="minorEastAsia"/>
        </w:rPr>
        <w:t>非功能需求</w:t>
      </w:r>
    </w:p>
    <w:p>
      <w:pPr>
        <w:spacing w:before="0" w:after="0"/>
        <w:ind w:firstLine="480"/>
        <w:rPr>
          <w:rFonts w:hint="default" w:hAnsi="宋体" w:cs="宋体"/>
          <w:kern w:val="0"/>
        </w:rPr>
      </w:pPr>
      <w:bookmarkStart w:id="118" w:name="_Toc147222355"/>
      <w:bookmarkStart w:id="119" w:name="_Toc14196"/>
      <w:bookmarkStart w:id="120" w:name="_Toc8588"/>
      <w:bookmarkStart w:id="121" w:name="_Toc28440"/>
      <w:r>
        <w:rPr>
          <w:rFonts w:hAnsi="宋体" w:cs="宋体"/>
          <w:kern w:val="0"/>
        </w:rPr>
        <w:t>1、</w:t>
      </w:r>
      <w:r>
        <w:rPr>
          <w:rFonts w:hint="default" w:hAnsi="宋体" w:cs="宋体"/>
          <w:kern w:val="0"/>
        </w:rPr>
        <w:t>可用性要求</w:t>
      </w:r>
      <w:bookmarkEnd w:id="118"/>
      <w:bookmarkEnd w:id="119"/>
      <w:bookmarkEnd w:id="120"/>
      <w:bookmarkEnd w:id="121"/>
    </w:p>
    <w:p>
      <w:pPr>
        <w:spacing w:before="0" w:after="0"/>
        <w:ind w:firstLine="480"/>
        <w:rPr>
          <w:rFonts w:hint="default" w:ascii="等线" w:hAnsi="等线"/>
          <w:szCs w:val="22"/>
        </w:rPr>
      </w:pPr>
      <w:r>
        <w:rPr>
          <w:lang w:bidi="th-TH"/>
        </w:rPr>
        <w:t>要求</w:t>
      </w:r>
      <w:r>
        <w:rPr>
          <w:rFonts w:ascii="等线" w:hAnsi="等线"/>
          <w:szCs w:val="22"/>
        </w:rPr>
        <w:t>系统应具备较强的负载能力、较高的事务处理能力以及良好的响应时间，在大用户量同时发送并发请求服务时不会造成阻塞。且系统从底层数据库到业务逻辑功能层都应经过严格测试，能在不同的硬件环境中长期平稳运行。</w:t>
      </w:r>
    </w:p>
    <w:p>
      <w:pPr>
        <w:spacing w:before="0" w:after="0"/>
        <w:ind w:firstLine="420" w:firstLineChars="0"/>
        <w:jc w:val="left"/>
        <w:rPr>
          <w:rFonts w:hint="default" w:hAnsi="宋体" w:cs="宋体"/>
        </w:rPr>
      </w:pPr>
      <w:r>
        <w:rPr>
          <w:rFonts w:hAnsi="宋体" w:cs="宋体"/>
        </w:rPr>
        <w:t>服务商根据国寿海外的故障情况，以超过行业标准的服务SLA进行故障响应解决，具体要求指标如下，以提升国寿海外业务运行的连续性。</w:t>
      </w:r>
    </w:p>
    <w:tbl>
      <w:tblPr>
        <w:tblStyle w:val="22"/>
        <w:tblW w:w="90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8"/>
        <w:gridCol w:w="4095"/>
        <w:gridCol w:w="2016"/>
        <w:gridCol w:w="1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358" w:type="dxa"/>
            <w:tcBorders>
              <w:top w:val="single" w:color="auto" w:sz="4" w:space="0"/>
              <w:left w:val="single" w:color="auto" w:sz="4" w:space="0"/>
              <w:bottom w:val="single" w:color="auto" w:sz="4" w:space="0"/>
              <w:right w:val="single" w:color="auto" w:sz="4" w:space="0"/>
              <w:tl2br w:val="nil"/>
              <w:tr2bl w:val="nil"/>
            </w:tcBorders>
            <w:shd w:val="clear" w:color="auto" w:fill="D0CECE"/>
            <w:vAlign w:val="center"/>
          </w:tcPr>
          <w:p>
            <w:pPr>
              <w:tabs>
                <w:tab w:val="left" w:pos="0"/>
              </w:tabs>
              <w:snapToGrid w:val="0"/>
              <w:spacing w:before="0" w:after="0" w:line="240" w:lineRule="auto"/>
              <w:ind w:firstLine="0" w:firstLineChars="0"/>
              <w:jc w:val="center"/>
              <w:rPr>
                <w:rFonts w:hint="default" w:hAnsi="宋体" w:cs="等线"/>
                <w:b/>
                <w:sz w:val="18"/>
                <w:szCs w:val="18"/>
              </w:rPr>
            </w:pPr>
            <w:r>
              <w:rPr>
                <w:rFonts w:hAnsi="宋体" w:cs="等线"/>
                <w:b/>
                <w:sz w:val="18"/>
                <w:szCs w:val="18"/>
              </w:rPr>
              <w:t>故障级别</w:t>
            </w:r>
          </w:p>
        </w:tc>
        <w:tc>
          <w:tcPr>
            <w:tcW w:w="4095" w:type="dxa"/>
            <w:tcBorders>
              <w:top w:val="single" w:color="auto" w:sz="4" w:space="0"/>
              <w:left w:val="single" w:color="auto" w:sz="4" w:space="0"/>
              <w:bottom w:val="single" w:color="auto" w:sz="4" w:space="0"/>
              <w:right w:val="single" w:color="auto" w:sz="4" w:space="0"/>
              <w:tl2br w:val="nil"/>
              <w:tr2bl w:val="nil"/>
            </w:tcBorders>
            <w:shd w:val="clear" w:color="auto" w:fill="D0CECE"/>
            <w:vAlign w:val="center"/>
          </w:tcPr>
          <w:p>
            <w:pPr>
              <w:tabs>
                <w:tab w:val="left" w:pos="0"/>
              </w:tabs>
              <w:snapToGrid w:val="0"/>
              <w:spacing w:before="0" w:after="0" w:line="240" w:lineRule="auto"/>
              <w:ind w:firstLine="0" w:firstLineChars="0"/>
              <w:jc w:val="center"/>
              <w:rPr>
                <w:rFonts w:hint="default" w:hAnsi="宋体" w:cs="等线"/>
                <w:b/>
                <w:sz w:val="18"/>
                <w:szCs w:val="18"/>
              </w:rPr>
            </w:pPr>
            <w:r>
              <w:rPr>
                <w:rFonts w:hAnsi="宋体" w:cs="等线"/>
                <w:b/>
                <w:sz w:val="18"/>
                <w:szCs w:val="18"/>
              </w:rPr>
              <w:t>级别说明</w:t>
            </w:r>
          </w:p>
        </w:tc>
        <w:tc>
          <w:tcPr>
            <w:tcW w:w="2016" w:type="dxa"/>
            <w:tcBorders>
              <w:top w:val="single" w:color="auto" w:sz="4" w:space="0"/>
              <w:left w:val="single" w:color="auto" w:sz="4" w:space="0"/>
              <w:bottom w:val="single" w:color="auto" w:sz="4" w:space="0"/>
              <w:right w:val="single" w:color="auto" w:sz="4" w:space="0"/>
              <w:tl2br w:val="nil"/>
              <w:tr2bl w:val="nil"/>
            </w:tcBorders>
            <w:shd w:val="clear" w:color="auto" w:fill="D0CECE"/>
            <w:vAlign w:val="center"/>
          </w:tcPr>
          <w:p>
            <w:pPr>
              <w:tabs>
                <w:tab w:val="left" w:pos="0"/>
              </w:tabs>
              <w:snapToGrid w:val="0"/>
              <w:spacing w:before="0" w:after="0" w:line="240" w:lineRule="auto"/>
              <w:ind w:firstLine="0" w:firstLineChars="0"/>
              <w:jc w:val="center"/>
              <w:rPr>
                <w:rFonts w:hint="default" w:hAnsi="宋体" w:cs="等线"/>
                <w:b/>
                <w:sz w:val="18"/>
                <w:szCs w:val="18"/>
              </w:rPr>
            </w:pPr>
            <w:r>
              <w:rPr>
                <w:rFonts w:hAnsi="宋体" w:cs="等线"/>
                <w:b/>
                <w:sz w:val="18"/>
                <w:szCs w:val="18"/>
              </w:rPr>
              <w:t>响应时间</w:t>
            </w:r>
          </w:p>
        </w:tc>
        <w:tc>
          <w:tcPr>
            <w:tcW w:w="1540" w:type="dxa"/>
            <w:tcBorders>
              <w:top w:val="single" w:color="auto" w:sz="4" w:space="0"/>
              <w:left w:val="single" w:color="auto" w:sz="4" w:space="0"/>
              <w:bottom w:val="single" w:color="auto" w:sz="4" w:space="0"/>
              <w:right w:val="single" w:color="auto" w:sz="4" w:space="0"/>
              <w:tl2br w:val="nil"/>
              <w:tr2bl w:val="nil"/>
            </w:tcBorders>
            <w:shd w:val="clear" w:color="auto" w:fill="D0CECE"/>
            <w:vAlign w:val="center"/>
          </w:tcPr>
          <w:p>
            <w:pPr>
              <w:tabs>
                <w:tab w:val="left" w:pos="0"/>
              </w:tabs>
              <w:snapToGrid w:val="0"/>
              <w:spacing w:before="0" w:after="0" w:line="240" w:lineRule="auto"/>
              <w:ind w:firstLine="0" w:firstLineChars="0"/>
              <w:jc w:val="center"/>
              <w:rPr>
                <w:rFonts w:hint="default" w:hAnsi="宋体" w:cs="等线"/>
                <w:b/>
                <w:sz w:val="18"/>
                <w:szCs w:val="18"/>
              </w:rPr>
            </w:pPr>
            <w:r>
              <w:rPr>
                <w:rFonts w:hAnsi="宋体" w:cs="等线"/>
                <w:b/>
                <w:sz w:val="18"/>
                <w:szCs w:val="18"/>
              </w:rPr>
              <w:t>一般解决时间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358" w:type="dxa"/>
            <w:tcBorders>
              <w:top w:val="single" w:color="auto" w:sz="4" w:space="0"/>
              <w:left w:val="single" w:color="auto" w:sz="4" w:space="0"/>
              <w:bottom w:val="single" w:color="auto" w:sz="4" w:space="0"/>
              <w:right w:val="single" w:color="auto" w:sz="4" w:space="0"/>
              <w:tl2br w:val="nil"/>
              <w:tr2bl w:val="nil"/>
            </w:tcBorders>
            <w:vAlign w:val="center"/>
          </w:tcPr>
          <w:p>
            <w:pPr>
              <w:tabs>
                <w:tab w:val="left" w:pos="0"/>
              </w:tabs>
              <w:snapToGrid w:val="0"/>
              <w:spacing w:before="0" w:after="0" w:line="240" w:lineRule="auto"/>
              <w:ind w:firstLine="0" w:firstLineChars="0"/>
              <w:jc w:val="center"/>
              <w:rPr>
                <w:rFonts w:hint="default" w:hAnsi="宋体" w:cs="等线"/>
                <w:sz w:val="18"/>
                <w:szCs w:val="18"/>
              </w:rPr>
            </w:pPr>
            <w:r>
              <w:rPr>
                <w:rFonts w:hAnsi="宋体" w:cs="等线"/>
                <w:sz w:val="18"/>
                <w:szCs w:val="18"/>
              </w:rPr>
              <w:t>1级</w:t>
            </w:r>
          </w:p>
          <w:p>
            <w:pPr>
              <w:tabs>
                <w:tab w:val="left" w:pos="0"/>
              </w:tabs>
              <w:snapToGrid w:val="0"/>
              <w:spacing w:before="0" w:after="0" w:line="240" w:lineRule="auto"/>
              <w:ind w:firstLine="0" w:firstLineChars="0"/>
              <w:jc w:val="center"/>
              <w:rPr>
                <w:rFonts w:hint="default" w:hAnsi="宋体" w:cs="等线"/>
                <w:sz w:val="18"/>
                <w:szCs w:val="18"/>
              </w:rPr>
            </w:pPr>
            <w:r>
              <w:rPr>
                <w:rFonts w:hAnsi="宋体" w:cs="等线"/>
                <w:sz w:val="18"/>
                <w:szCs w:val="18"/>
              </w:rPr>
              <w:t>特大故障</w:t>
            </w:r>
          </w:p>
        </w:tc>
        <w:tc>
          <w:tcPr>
            <w:tcW w:w="4095" w:type="dxa"/>
            <w:tcBorders>
              <w:top w:val="single" w:color="auto" w:sz="4" w:space="0"/>
              <w:left w:val="single" w:color="auto" w:sz="4" w:space="0"/>
              <w:bottom w:val="single" w:color="auto" w:sz="4" w:space="0"/>
              <w:right w:val="single" w:color="auto" w:sz="4" w:space="0"/>
              <w:tl2br w:val="nil"/>
              <w:tr2bl w:val="nil"/>
            </w:tcBorders>
            <w:vAlign w:val="center"/>
          </w:tcPr>
          <w:p>
            <w:pPr>
              <w:tabs>
                <w:tab w:val="left" w:pos="0"/>
              </w:tabs>
              <w:snapToGrid w:val="0"/>
              <w:spacing w:before="0" w:after="0" w:line="240" w:lineRule="auto"/>
              <w:ind w:firstLine="0" w:firstLineChars="0"/>
              <w:rPr>
                <w:rFonts w:hint="default" w:hAnsi="宋体" w:cs="等线"/>
                <w:sz w:val="18"/>
                <w:szCs w:val="18"/>
              </w:rPr>
            </w:pPr>
            <w:r>
              <w:rPr>
                <w:rFonts w:hAnsi="宋体" w:cs="Arial"/>
                <w:sz w:val="18"/>
                <w:szCs w:val="18"/>
              </w:rPr>
              <w:t>系统瘫痪，导致正常的业务经营活动无法开展，对甲方造成严重损害</w:t>
            </w:r>
          </w:p>
        </w:tc>
        <w:tc>
          <w:tcPr>
            <w:tcW w:w="2016" w:type="dxa"/>
            <w:tcBorders>
              <w:top w:val="single" w:color="auto" w:sz="4" w:space="0"/>
              <w:left w:val="single" w:color="auto" w:sz="4" w:space="0"/>
              <w:bottom w:val="single" w:color="auto" w:sz="4" w:space="0"/>
              <w:right w:val="single" w:color="auto" w:sz="4" w:space="0"/>
              <w:tl2br w:val="nil"/>
              <w:tr2bl w:val="nil"/>
            </w:tcBorders>
            <w:vAlign w:val="center"/>
          </w:tcPr>
          <w:p>
            <w:pPr>
              <w:tabs>
                <w:tab w:val="left" w:pos="0"/>
              </w:tabs>
              <w:snapToGrid w:val="0"/>
              <w:spacing w:before="0" w:after="0" w:line="240" w:lineRule="auto"/>
              <w:ind w:firstLine="0" w:firstLineChars="0"/>
              <w:jc w:val="left"/>
              <w:rPr>
                <w:rFonts w:hint="default" w:hAnsi="宋体" w:cs="等线"/>
                <w:sz w:val="18"/>
                <w:szCs w:val="18"/>
              </w:rPr>
            </w:pPr>
            <w:r>
              <w:rPr>
                <w:rFonts w:hAnsi="宋体" w:cs="等线"/>
                <w:sz w:val="18"/>
                <w:szCs w:val="18"/>
              </w:rPr>
              <w:t>15分钟开始远程支持</w:t>
            </w:r>
          </w:p>
          <w:p>
            <w:pPr>
              <w:tabs>
                <w:tab w:val="left" w:pos="0"/>
              </w:tabs>
              <w:snapToGrid w:val="0"/>
              <w:spacing w:before="0" w:after="0" w:line="240" w:lineRule="auto"/>
              <w:ind w:firstLine="0" w:firstLineChars="0"/>
              <w:jc w:val="left"/>
              <w:rPr>
                <w:rFonts w:hint="default" w:hAnsi="宋体" w:cs="等线"/>
                <w:sz w:val="18"/>
                <w:szCs w:val="18"/>
              </w:rPr>
            </w:pPr>
            <w:r>
              <w:rPr>
                <w:rFonts w:hAnsi="宋体" w:cs="等线"/>
                <w:sz w:val="18"/>
                <w:szCs w:val="18"/>
              </w:rPr>
              <w:t>1小时到场</w:t>
            </w:r>
          </w:p>
        </w:tc>
        <w:tc>
          <w:tcPr>
            <w:tcW w:w="1540" w:type="dxa"/>
            <w:tcBorders>
              <w:top w:val="single" w:color="auto" w:sz="4" w:space="0"/>
              <w:left w:val="single" w:color="auto" w:sz="4" w:space="0"/>
              <w:bottom w:val="single" w:color="auto" w:sz="4" w:space="0"/>
              <w:right w:val="single" w:color="auto" w:sz="4" w:space="0"/>
              <w:tl2br w:val="nil"/>
              <w:tr2bl w:val="nil"/>
            </w:tcBorders>
            <w:vAlign w:val="center"/>
          </w:tcPr>
          <w:p>
            <w:pPr>
              <w:tabs>
                <w:tab w:val="left" w:pos="0"/>
              </w:tabs>
              <w:snapToGrid w:val="0"/>
              <w:spacing w:before="0" w:after="0" w:line="240" w:lineRule="auto"/>
              <w:ind w:firstLine="0" w:firstLineChars="0"/>
              <w:jc w:val="center"/>
              <w:rPr>
                <w:rFonts w:hint="default" w:hAnsi="宋体" w:cs="等线"/>
                <w:sz w:val="18"/>
                <w:szCs w:val="18"/>
              </w:rPr>
            </w:pPr>
            <w:r>
              <w:rPr>
                <w:rFonts w:hAnsi="宋体" w:cs="等线"/>
                <w:sz w:val="18"/>
                <w:szCs w:val="18"/>
              </w:rPr>
              <w:t>2小时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358" w:type="dxa"/>
            <w:tcBorders>
              <w:top w:val="single" w:color="auto" w:sz="4" w:space="0"/>
              <w:left w:val="single" w:color="auto" w:sz="4" w:space="0"/>
              <w:bottom w:val="single" w:color="auto" w:sz="4" w:space="0"/>
              <w:right w:val="single" w:color="auto" w:sz="4" w:space="0"/>
              <w:tl2br w:val="nil"/>
              <w:tr2bl w:val="nil"/>
            </w:tcBorders>
            <w:vAlign w:val="center"/>
          </w:tcPr>
          <w:p>
            <w:pPr>
              <w:tabs>
                <w:tab w:val="left" w:pos="0"/>
              </w:tabs>
              <w:snapToGrid w:val="0"/>
              <w:spacing w:before="0" w:after="0" w:line="240" w:lineRule="auto"/>
              <w:ind w:firstLine="0" w:firstLineChars="0"/>
              <w:jc w:val="center"/>
              <w:rPr>
                <w:rFonts w:hint="default" w:hAnsi="宋体" w:cs="等线"/>
                <w:sz w:val="18"/>
                <w:szCs w:val="18"/>
              </w:rPr>
            </w:pPr>
            <w:r>
              <w:rPr>
                <w:rFonts w:hAnsi="宋体" w:cs="等线"/>
                <w:sz w:val="18"/>
                <w:szCs w:val="18"/>
              </w:rPr>
              <w:t>2级</w:t>
            </w:r>
          </w:p>
          <w:p>
            <w:pPr>
              <w:tabs>
                <w:tab w:val="left" w:pos="0"/>
              </w:tabs>
              <w:snapToGrid w:val="0"/>
              <w:spacing w:before="0" w:after="0" w:line="240" w:lineRule="auto"/>
              <w:ind w:firstLine="0" w:firstLineChars="0"/>
              <w:jc w:val="center"/>
              <w:rPr>
                <w:rFonts w:hint="default" w:hAnsi="宋体" w:cs="等线"/>
                <w:sz w:val="18"/>
                <w:szCs w:val="18"/>
              </w:rPr>
            </w:pPr>
            <w:r>
              <w:rPr>
                <w:rFonts w:hAnsi="宋体" w:cs="等线"/>
                <w:sz w:val="18"/>
                <w:szCs w:val="18"/>
              </w:rPr>
              <w:t>重大故障</w:t>
            </w:r>
          </w:p>
        </w:tc>
        <w:tc>
          <w:tcPr>
            <w:tcW w:w="4095" w:type="dxa"/>
            <w:tcBorders>
              <w:top w:val="single" w:color="auto" w:sz="4" w:space="0"/>
              <w:left w:val="single" w:color="auto" w:sz="4" w:space="0"/>
              <w:bottom w:val="single" w:color="auto" w:sz="4" w:space="0"/>
              <w:right w:val="single" w:color="auto" w:sz="4" w:space="0"/>
              <w:tl2br w:val="nil"/>
              <w:tr2bl w:val="nil"/>
            </w:tcBorders>
            <w:vAlign w:val="center"/>
          </w:tcPr>
          <w:p>
            <w:pPr>
              <w:tabs>
                <w:tab w:val="left" w:pos="0"/>
              </w:tabs>
              <w:snapToGrid w:val="0"/>
              <w:spacing w:before="0" w:after="0" w:line="240" w:lineRule="auto"/>
              <w:ind w:firstLine="0" w:firstLineChars="0"/>
              <w:rPr>
                <w:rFonts w:hint="default" w:hAnsi="宋体" w:cs="等线"/>
                <w:sz w:val="18"/>
                <w:szCs w:val="18"/>
              </w:rPr>
            </w:pPr>
            <w:r>
              <w:rPr>
                <w:rFonts w:hAnsi="宋体" w:cs="Arial"/>
                <w:sz w:val="18"/>
                <w:szCs w:val="18"/>
              </w:rPr>
              <w:t>系统故障，还可开展业务经营活动，但服务水平下降，对甲方造成一定损害</w:t>
            </w:r>
          </w:p>
        </w:tc>
        <w:tc>
          <w:tcPr>
            <w:tcW w:w="2016" w:type="dxa"/>
            <w:tcBorders>
              <w:top w:val="single" w:color="auto" w:sz="4" w:space="0"/>
              <w:left w:val="single" w:color="auto" w:sz="4" w:space="0"/>
              <w:bottom w:val="single" w:color="auto" w:sz="4" w:space="0"/>
              <w:right w:val="single" w:color="auto" w:sz="4" w:space="0"/>
              <w:tl2br w:val="nil"/>
              <w:tr2bl w:val="nil"/>
            </w:tcBorders>
            <w:vAlign w:val="center"/>
          </w:tcPr>
          <w:p>
            <w:pPr>
              <w:tabs>
                <w:tab w:val="left" w:pos="0"/>
              </w:tabs>
              <w:snapToGrid w:val="0"/>
              <w:spacing w:before="0" w:after="0" w:line="240" w:lineRule="auto"/>
              <w:ind w:firstLine="0" w:firstLineChars="0"/>
              <w:jc w:val="left"/>
              <w:rPr>
                <w:rFonts w:hint="default" w:hAnsi="宋体" w:cs="等线"/>
                <w:sz w:val="18"/>
                <w:szCs w:val="18"/>
              </w:rPr>
            </w:pPr>
            <w:r>
              <w:rPr>
                <w:rFonts w:hAnsi="宋体" w:cs="等线"/>
                <w:sz w:val="18"/>
                <w:szCs w:val="18"/>
              </w:rPr>
              <w:t>15分钟开始远程支持</w:t>
            </w:r>
          </w:p>
          <w:p>
            <w:pPr>
              <w:tabs>
                <w:tab w:val="left" w:pos="0"/>
              </w:tabs>
              <w:snapToGrid w:val="0"/>
              <w:spacing w:before="0" w:after="0" w:line="240" w:lineRule="auto"/>
              <w:ind w:firstLine="0" w:firstLineChars="0"/>
              <w:jc w:val="left"/>
              <w:rPr>
                <w:rFonts w:hint="default" w:hAnsi="宋体" w:cs="等线"/>
                <w:sz w:val="18"/>
                <w:szCs w:val="18"/>
              </w:rPr>
            </w:pPr>
            <w:r>
              <w:rPr>
                <w:rFonts w:hAnsi="宋体" w:cs="等线"/>
                <w:sz w:val="18"/>
                <w:szCs w:val="18"/>
              </w:rPr>
              <w:t>1小时到场</w:t>
            </w:r>
          </w:p>
        </w:tc>
        <w:tc>
          <w:tcPr>
            <w:tcW w:w="1540" w:type="dxa"/>
            <w:tcBorders>
              <w:top w:val="single" w:color="auto" w:sz="4" w:space="0"/>
              <w:left w:val="single" w:color="auto" w:sz="4" w:space="0"/>
              <w:bottom w:val="single" w:color="auto" w:sz="4" w:space="0"/>
              <w:right w:val="single" w:color="auto" w:sz="4" w:space="0"/>
              <w:tl2br w:val="nil"/>
              <w:tr2bl w:val="nil"/>
            </w:tcBorders>
            <w:vAlign w:val="center"/>
          </w:tcPr>
          <w:p>
            <w:pPr>
              <w:tabs>
                <w:tab w:val="left" w:pos="0"/>
              </w:tabs>
              <w:snapToGrid w:val="0"/>
              <w:spacing w:before="0" w:after="0" w:line="240" w:lineRule="auto"/>
              <w:ind w:firstLine="0" w:firstLineChars="0"/>
              <w:jc w:val="center"/>
              <w:rPr>
                <w:rFonts w:hint="default" w:hAnsi="宋体" w:cs="等线"/>
                <w:sz w:val="18"/>
                <w:szCs w:val="18"/>
              </w:rPr>
            </w:pPr>
            <w:r>
              <w:rPr>
                <w:rFonts w:hAnsi="宋体" w:cs="等线"/>
                <w:sz w:val="18"/>
                <w:szCs w:val="18"/>
              </w:rPr>
              <w:t>4小时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358" w:type="dxa"/>
            <w:tcBorders>
              <w:top w:val="single" w:color="auto" w:sz="4" w:space="0"/>
              <w:left w:val="single" w:color="auto" w:sz="4" w:space="0"/>
              <w:bottom w:val="single" w:color="auto" w:sz="4" w:space="0"/>
              <w:right w:val="single" w:color="auto" w:sz="4" w:space="0"/>
              <w:tl2br w:val="nil"/>
              <w:tr2bl w:val="nil"/>
            </w:tcBorders>
            <w:vAlign w:val="center"/>
          </w:tcPr>
          <w:p>
            <w:pPr>
              <w:tabs>
                <w:tab w:val="left" w:pos="0"/>
              </w:tabs>
              <w:snapToGrid w:val="0"/>
              <w:spacing w:before="0" w:after="0" w:line="240" w:lineRule="auto"/>
              <w:ind w:firstLine="0" w:firstLineChars="0"/>
              <w:jc w:val="center"/>
              <w:rPr>
                <w:rFonts w:hint="default" w:hAnsi="宋体" w:cs="等线"/>
                <w:sz w:val="18"/>
                <w:szCs w:val="18"/>
              </w:rPr>
            </w:pPr>
            <w:r>
              <w:rPr>
                <w:rFonts w:hAnsi="宋体" w:cs="等线"/>
                <w:sz w:val="18"/>
                <w:szCs w:val="18"/>
              </w:rPr>
              <w:t>3级</w:t>
            </w:r>
          </w:p>
          <w:p>
            <w:pPr>
              <w:tabs>
                <w:tab w:val="left" w:pos="0"/>
              </w:tabs>
              <w:snapToGrid w:val="0"/>
              <w:spacing w:before="0" w:after="0" w:line="240" w:lineRule="auto"/>
              <w:ind w:firstLine="0" w:firstLineChars="0"/>
              <w:jc w:val="center"/>
              <w:rPr>
                <w:rFonts w:hint="default" w:hAnsi="宋体" w:cs="等线"/>
                <w:sz w:val="18"/>
                <w:szCs w:val="18"/>
              </w:rPr>
            </w:pPr>
            <w:r>
              <w:rPr>
                <w:rFonts w:hAnsi="宋体" w:cs="等线"/>
                <w:sz w:val="18"/>
                <w:szCs w:val="18"/>
              </w:rPr>
              <w:t>一般故障</w:t>
            </w:r>
          </w:p>
        </w:tc>
        <w:tc>
          <w:tcPr>
            <w:tcW w:w="4095" w:type="dxa"/>
            <w:tcBorders>
              <w:top w:val="single" w:color="auto" w:sz="4" w:space="0"/>
              <w:left w:val="single" w:color="auto" w:sz="4" w:space="0"/>
              <w:bottom w:val="single" w:color="auto" w:sz="4" w:space="0"/>
              <w:right w:val="single" w:color="auto" w:sz="4" w:space="0"/>
              <w:tl2br w:val="nil"/>
              <w:tr2bl w:val="nil"/>
            </w:tcBorders>
            <w:vAlign w:val="center"/>
          </w:tcPr>
          <w:p>
            <w:pPr>
              <w:tabs>
                <w:tab w:val="left" w:pos="0"/>
              </w:tabs>
              <w:snapToGrid w:val="0"/>
              <w:spacing w:before="0" w:after="0" w:line="240" w:lineRule="auto"/>
              <w:ind w:firstLine="0" w:firstLineChars="0"/>
              <w:rPr>
                <w:rFonts w:hint="default" w:hAnsi="宋体" w:cs="等线"/>
                <w:sz w:val="18"/>
                <w:szCs w:val="18"/>
              </w:rPr>
            </w:pPr>
            <w:r>
              <w:rPr>
                <w:rFonts w:hAnsi="宋体" w:cs="Arial"/>
                <w:sz w:val="18"/>
                <w:szCs w:val="18"/>
              </w:rPr>
              <w:t>系统部分模块故障，不影响业务经营活动和服务水平，对甲方无明显影响</w:t>
            </w:r>
          </w:p>
        </w:tc>
        <w:tc>
          <w:tcPr>
            <w:tcW w:w="2016" w:type="dxa"/>
            <w:tcBorders>
              <w:top w:val="single" w:color="auto" w:sz="4" w:space="0"/>
              <w:left w:val="single" w:color="auto" w:sz="4" w:space="0"/>
              <w:bottom w:val="single" w:color="auto" w:sz="4" w:space="0"/>
              <w:right w:val="single" w:color="auto" w:sz="4" w:space="0"/>
              <w:tl2br w:val="nil"/>
              <w:tr2bl w:val="nil"/>
            </w:tcBorders>
            <w:vAlign w:val="center"/>
          </w:tcPr>
          <w:p>
            <w:pPr>
              <w:tabs>
                <w:tab w:val="left" w:pos="0"/>
              </w:tabs>
              <w:snapToGrid w:val="0"/>
              <w:spacing w:before="0" w:after="0" w:line="240" w:lineRule="auto"/>
              <w:ind w:firstLine="0" w:firstLineChars="0"/>
              <w:jc w:val="left"/>
              <w:rPr>
                <w:rFonts w:hint="default" w:hAnsi="宋体" w:cs="等线"/>
                <w:sz w:val="18"/>
                <w:szCs w:val="18"/>
              </w:rPr>
            </w:pPr>
            <w:r>
              <w:rPr>
                <w:rFonts w:hAnsi="宋体" w:cs="等线"/>
                <w:sz w:val="18"/>
                <w:szCs w:val="18"/>
              </w:rPr>
              <w:t>30分钟开始远程支持</w:t>
            </w:r>
          </w:p>
          <w:p>
            <w:pPr>
              <w:tabs>
                <w:tab w:val="left" w:pos="0"/>
              </w:tabs>
              <w:snapToGrid w:val="0"/>
              <w:spacing w:before="0" w:after="0" w:line="240" w:lineRule="auto"/>
              <w:ind w:firstLine="0" w:firstLineChars="0"/>
              <w:jc w:val="left"/>
              <w:rPr>
                <w:rFonts w:hint="default" w:hAnsi="宋体" w:cs="等线"/>
                <w:sz w:val="18"/>
                <w:szCs w:val="18"/>
              </w:rPr>
            </w:pPr>
            <w:r>
              <w:rPr>
                <w:rFonts w:hAnsi="宋体" w:cs="等线"/>
                <w:sz w:val="18"/>
                <w:szCs w:val="18"/>
              </w:rPr>
              <w:t>2小时到场</w:t>
            </w:r>
          </w:p>
        </w:tc>
        <w:tc>
          <w:tcPr>
            <w:tcW w:w="1540" w:type="dxa"/>
            <w:tcBorders>
              <w:top w:val="single" w:color="auto" w:sz="4" w:space="0"/>
              <w:left w:val="single" w:color="auto" w:sz="4" w:space="0"/>
              <w:bottom w:val="single" w:color="auto" w:sz="4" w:space="0"/>
              <w:right w:val="single" w:color="auto" w:sz="4" w:space="0"/>
              <w:tl2br w:val="nil"/>
              <w:tr2bl w:val="nil"/>
            </w:tcBorders>
            <w:vAlign w:val="center"/>
          </w:tcPr>
          <w:p>
            <w:pPr>
              <w:tabs>
                <w:tab w:val="left" w:pos="0"/>
              </w:tabs>
              <w:snapToGrid w:val="0"/>
              <w:spacing w:before="0" w:after="0" w:line="240" w:lineRule="auto"/>
              <w:ind w:firstLine="0" w:firstLineChars="0"/>
              <w:jc w:val="center"/>
              <w:rPr>
                <w:rFonts w:hint="default" w:hAnsi="宋体" w:cs="等线"/>
                <w:sz w:val="18"/>
                <w:szCs w:val="18"/>
              </w:rPr>
            </w:pPr>
            <w:r>
              <w:rPr>
                <w:rFonts w:hAnsi="宋体" w:cs="等线"/>
                <w:sz w:val="18"/>
                <w:szCs w:val="18"/>
              </w:rPr>
              <w:t>12小时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358" w:type="dxa"/>
            <w:tcBorders>
              <w:top w:val="single" w:color="auto" w:sz="4" w:space="0"/>
              <w:left w:val="single" w:color="auto" w:sz="4" w:space="0"/>
              <w:bottom w:val="single" w:color="auto" w:sz="4" w:space="0"/>
              <w:right w:val="single" w:color="auto" w:sz="4" w:space="0"/>
              <w:tl2br w:val="nil"/>
              <w:tr2bl w:val="nil"/>
            </w:tcBorders>
            <w:vAlign w:val="center"/>
          </w:tcPr>
          <w:p>
            <w:pPr>
              <w:tabs>
                <w:tab w:val="left" w:pos="0"/>
              </w:tabs>
              <w:snapToGrid w:val="0"/>
              <w:spacing w:before="0" w:after="0" w:line="240" w:lineRule="auto"/>
              <w:ind w:firstLine="0" w:firstLineChars="0"/>
              <w:jc w:val="center"/>
              <w:rPr>
                <w:rFonts w:hint="default" w:hAnsi="宋体" w:cs="等线"/>
                <w:sz w:val="18"/>
                <w:szCs w:val="18"/>
              </w:rPr>
            </w:pPr>
            <w:r>
              <w:rPr>
                <w:rFonts w:hAnsi="宋体" w:cs="等线"/>
                <w:sz w:val="18"/>
                <w:szCs w:val="18"/>
              </w:rPr>
              <w:t>4级</w:t>
            </w:r>
          </w:p>
          <w:p>
            <w:pPr>
              <w:tabs>
                <w:tab w:val="left" w:pos="0"/>
              </w:tabs>
              <w:snapToGrid w:val="0"/>
              <w:spacing w:before="0" w:after="0" w:line="240" w:lineRule="auto"/>
              <w:ind w:firstLine="0" w:firstLineChars="0"/>
              <w:jc w:val="center"/>
              <w:rPr>
                <w:rFonts w:hint="default" w:hAnsi="宋体" w:cs="等线"/>
                <w:sz w:val="18"/>
                <w:szCs w:val="18"/>
              </w:rPr>
            </w:pPr>
            <w:r>
              <w:rPr>
                <w:rFonts w:hAnsi="宋体" w:cs="等线"/>
                <w:sz w:val="18"/>
                <w:szCs w:val="18"/>
              </w:rPr>
              <w:t>微小故障</w:t>
            </w:r>
          </w:p>
        </w:tc>
        <w:tc>
          <w:tcPr>
            <w:tcW w:w="4095" w:type="dxa"/>
            <w:tcBorders>
              <w:top w:val="single" w:color="auto" w:sz="4" w:space="0"/>
              <w:left w:val="single" w:color="auto" w:sz="4" w:space="0"/>
              <w:bottom w:val="single" w:color="auto" w:sz="4" w:space="0"/>
              <w:right w:val="single" w:color="auto" w:sz="4" w:space="0"/>
              <w:tl2br w:val="nil"/>
              <w:tr2bl w:val="nil"/>
            </w:tcBorders>
            <w:vAlign w:val="center"/>
          </w:tcPr>
          <w:p>
            <w:pPr>
              <w:pStyle w:val="27"/>
              <w:jc w:val="both"/>
              <w:rPr>
                <w:rFonts w:ascii="宋体" w:hAnsi="宋体" w:cs="Arial"/>
                <w:sz w:val="18"/>
                <w:szCs w:val="18"/>
              </w:rPr>
            </w:pPr>
            <w:r>
              <w:rPr>
                <w:rFonts w:hint="eastAsia" w:ascii="宋体" w:hAnsi="宋体"/>
                <w:sz w:val="18"/>
                <w:szCs w:val="18"/>
              </w:rPr>
              <w:t>一般是较小的错误信息、不正确的结果或文档错误等,无明显影响</w:t>
            </w:r>
          </w:p>
        </w:tc>
        <w:tc>
          <w:tcPr>
            <w:tcW w:w="2016" w:type="dxa"/>
            <w:tcBorders>
              <w:top w:val="single" w:color="auto" w:sz="4" w:space="0"/>
              <w:left w:val="single" w:color="auto" w:sz="4" w:space="0"/>
              <w:bottom w:val="single" w:color="auto" w:sz="4" w:space="0"/>
              <w:right w:val="single" w:color="auto" w:sz="4" w:space="0"/>
              <w:tl2br w:val="nil"/>
              <w:tr2bl w:val="nil"/>
            </w:tcBorders>
            <w:vAlign w:val="center"/>
          </w:tcPr>
          <w:p>
            <w:pPr>
              <w:pStyle w:val="27"/>
              <w:rPr>
                <w:rFonts w:ascii="宋体" w:hAnsi="宋体" w:cs="Arial"/>
                <w:sz w:val="18"/>
                <w:szCs w:val="18"/>
              </w:rPr>
            </w:pPr>
            <w:r>
              <w:rPr>
                <w:rFonts w:hint="eastAsia" w:ascii="宋体" w:hAnsi="宋体" w:cs="Arial"/>
                <w:sz w:val="18"/>
                <w:szCs w:val="18"/>
              </w:rPr>
              <w:t>根据双方约定时间处理</w:t>
            </w:r>
          </w:p>
        </w:tc>
        <w:tc>
          <w:tcPr>
            <w:tcW w:w="1540" w:type="dxa"/>
            <w:tcBorders>
              <w:top w:val="single" w:color="auto" w:sz="4" w:space="0"/>
              <w:left w:val="single" w:color="auto" w:sz="4" w:space="0"/>
              <w:bottom w:val="single" w:color="auto" w:sz="4" w:space="0"/>
              <w:right w:val="single" w:color="auto" w:sz="4" w:space="0"/>
              <w:tl2br w:val="nil"/>
              <w:tr2bl w:val="nil"/>
            </w:tcBorders>
            <w:vAlign w:val="center"/>
          </w:tcPr>
          <w:p>
            <w:pPr>
              <w:pStyle w:val="27"/>
              <w:jc w:val="center"/>
              <w:rPr>
                <w:rFonts w:ascii="宋体" w:hAnsi="宋体" w:cs="Arial"/>
                <w:sz w:val="18"/>
                <w:szCs w:val="18"/>
              </w:rPr>
            </w:pPr>
            <w:r>
              <w:rPr>
                <w:rFonts w:hint="eastAsia" w:ascii="宋体" w:hAnsi="宋体" w:cs="Arial"/>
                <w:sz w:val="18"/>
                <w:szCs w:val="18"/>
              </w:rPr>
              <w:t>根据双方约定时间</w:t>
            </w:r>
          </w:p>
        </w:tc>
      </w:tr>
      <w:bookmarkEnd w:id="113"/>
      <w:bookmarkEnd w:id="114"/>
      <w:bookmarkEnd w:id="115"/>
    </w:tbl>
    <w:p>
      <w:pPr>
        <w:spacing w:before="0" w:after="0"/>
        <w:ind w:firstLine="480"/>
        <w:rPr>
          <w:rFonts w:hint="default" w:hAnsi="宋体" w:cs="宋体"/>
          <w:kern w:val="0"/>
        </w:rPr>
      </w:pPr>
      <w:bookmarkStart w:id="122" w:name="_Toc5219"/>
      <w:bookmarkStart w:id="123" w:name="_Toc18704"/>
      <w:bookmarkStart w:id="124" w:name="_Toc27176"/>
      <w:bookmarkStart w:id="125" w:name="_Toc147222356"/>
      <w:bookmarkStart w:id="126" w:name="_Toc4641"/>
      <w:bookmarkStart w:id="127" w:name="_Toc4355"/>
      <w:bookmarkStart w:id="128" w:name="_Toc147222354"/>
      <w:bookmarkStart w:id="129" w:name="_Toc5527"/>
      <w:bookmarkStart w:id="130" w:name="_Toc19288"/>
      <w:bookmarkStart w:id="131" w:name="_Toc111108465"/>
      <w:r>
        <w:rPr>
          <w:rFonts w:hAnsi="宋体" w:cs="宋体"/>
          <w:kern w:val="0"/>
        </w:rPr>
        <w:t>2、安全性要求</w:t>
      </w:r>
      <w:bookmarkEnd w:id="122"/>
      <w:bookmarkEnd w:id="123"/>
      <w:bookmarkEnd w:id="124"/>
      <w:bookmarkEnd w:id="125"/>
      <w:bookmarkEnd w:id="126"/>
    </w:p>
    <w:p>
      <w:pPr>
        <w:spacing w:before="0" w:after="0"/>
        <w:ind w:firstLine="480"/>
        <w:rPr>
          <w:rFonts w:hint="default"/>
          <w:lang w:bidi="th-TH"/>
        </w:rPr>
      </w:pPr>
      <w:r>
        <w:rPr>
          <w:lang w:bidi="th-TH"/>
        </w:rPr>
        <w:t>保证网络安全、系统安全和数据安全，整个系统要配置和构建可靠实用的安全策略和机制。根据不同的业务要求和应用处理方式，设置不同的安全措施和环节，既满足业务管理、业务授权以及流程管理中的业务安全性要求。有完善易查的日志功能，便于进行审计跟踪非法操作，保证用户不受非正当侵害。项目实施过程会接触到甲方的资产、安全风险相关数据，要求乙方保证系统安全和数据安全，满足甲方和相关监管部门对安全和风险管理的要求。</w:t>
      </w:r>
    </w:p>
    <w:p>
      <w:pPr>
        <w:spacing w:before="0" w:after="0"/>
        <w:ind w:firstLine="480"/>
        <w:rPr>
          <w:rFonts w:hint="default" w:hAnsi="宋体" w:cs="宋体"/>
          <w:szCs w:val="22"/>
        </w:rPr>
      </w:pPr>
      <w:r>
        <w:rPr>
          <w:rFonts w:hAnsi="宋体" w:cs="宋体"/>
          <w:szCs w:val="22"/>
        </w:rPr>
        <w:t>1.仅授权用户可访问系统；</w:t>
      </w:r>
    </w:p>
    <w:p>
      <w:pPr>
        <w:spacing w:before="0" w:after="0"/>
        <w:ind w:firstLine="480"/>
        <w:rPr>
          <w:rFonts w:hint="default" w:hAnsi="宋体" w:cs="宋体"/>
          <w:szCs w:val="22"/>
        </w:rPr>
      </w:pPr>
      <w:r>
        <w:rPr>
          <w:rFonts w:hAnsi="宋体" w:cs="宋体"/>
          <w:szCs w:val="22"/>
        </w:rPr>
        <w:t>2.系统所有接口过TLS，保证数据传输的安全性；</w:t>
      </w:r>
    </w:p>
    <w:p>
      <w:pPr>
        <w:spacing w:before="0" w:after="0"/>
        <w:ind w:firstLine="480"/>
        <w:rPr>
          <w:rFonts w:hint="default" w:hAnsi="宋体" w:cs="宋体"/>
          <w:szCs w:val="22"/>
        </w:rPr>
      </w:pPr>
      <w:r>
        <w:rPr>
          <w:rFonts w:hAnsi="宋体" w:cs="宋体"/>
          <w:szCs w:val="22"/>
        </w:rPr>
        <w:t>3.系统若存在个人信息等敏感数据内容落库，存储至本地的数据应进行存储加密（满足国密加密基本要求）</w:t>
      </w:r>
      <w:r>
        <w:rPr>
          <w:lang w:bidi="th-TH"/>
        </w:rPr>
        <w:t>。</w:t>
      </w:r>
    </w:p>
    <w:p>
      <w:pPr>
        <w:spacing w:before="0" w:after="0"/>
        <w:ind w:firstLine="480"/>
        <w:rPr>
          <w:rFonts w:hint="default" w:hAnsi="宋体" w:cs="宋体"/>
          <w:kern w:val="0"/>
        </w:rPr>
      </w:pPr>
      <w:bookmarkStart w:id="132" w:name="_Toc147222357"/>
      <w:bookmarkStart w:id="133" w:name="_Toc18022"/>
      <w:bookmarkStart w:id="134" w:name="_Toc7721"/>
      <w:bookmarkStart w:id="135" w:name="_Hlk147159794"/>
      <w:bookmarkStart w:id="136" w:name="_Toc27373"/>
      <w:bookmarkStart w:id="137" w:name="_Toc5552"/>
      <w:r>
        <w:rPr>
          <w:rFonts w:hAnsi="宋体" w:cs="宋体"/>
          <w:kern w:val="0"/>
        </w:rPr>
        <w:t>3、可维护性要求</w:t>
      </w:r>
      <w:bookmarkEnd w:id="132"/>
      <w:bookmarkEnd w:id="133"/>
      <w:bookmarkEnd w:id="134"/>
      <w:bookmarkEnd w:id="135"/>
      <w:bookmarkEnd w:id="136"/>
      <w:bookmarkEnd w:id="137"/>
    </w:p>
    <w:p>
      <w:pPr>
        <w:spacing w:before="0" w:after="0"/>
        <w:ind w:firstLine="480"/>
        <w:rPr>
          <w:rFonts w:hint="default"/>
          <w:highlight w:val="yellow"/>
        </w:rPr>
      </w:pPr>
      <w:r>
        <w:rPr>
          <w:lang w:bidi="th-TH"/>
        </w:rPr>
        <w:t>在系统设计之初应已考虑具备一定的可维护性，充分考虑系统人员维护及运行管理的可行性；同时针对本系统涉及用户多、业务繁杂的特点，实现从整体上易于维护，便于管理，保证系统的维护运行顺利可行。</w:t>
      </w:r>
    </w:p>
    <w:p>
      <w:pPr>
        <w:pStyle w:val="5"/>
        <w:spacing w:line="360" w:lineRule="auto"/>
      </w:pPr>
      <w:bookmarkStart w:id="138" w:name="_Toc25236"/>
      <w:r>
        <w:rPr>
          <w:rFonts w:hint="eastAsia"/>
        </w:rPr>
        <w:t>设计原则</w:t>
      </w:r>
      <w:bookmarkEnd w:id="138"/>
    </w:p>
    <w:p>
      <w:pPr>
        <w:ind w:firstLine="480"/>
        <w:rPr>
          <w:rFonts w:hint="default" w:asciiTheme="minorEastAsia" w:hAnsiTheme="minorEastAsia" w:eastAsiaTheme="minorEastAsia" w:cstheme="minorEastAsia"/>
        </w:rPr>
      </w:pPr>
      <w:r>
        <w:rPr>
          <w:rFonts w:asciiTheme="minorEastAsia" w:hAnsiTheme="minorEastAsia" w:eastAsiaTheme="minorEastAsia" w:cstheme="minorEastAsia"/>
          <w:iCs/>
          <w:color w:val="000000" w:themeColor="text1"/>
          <w14:textFill>
            <w14:solidFill>
              <w14:schemeClr w14:val="tx1"/>
            </w14:solidFill>
          </w14:textFill>
        </w:rPr>
        <w:t>乙方须遵循以下6项设计原则：</w:t>
      </w:r>
    </w:p>
    <w:p>
      <w:pPr>
        <w:ind w:firstLine="482"/>
        <w:rPr>
          <w:rFonts w:hint="default" w:asciiTheme="minorEastAsia" w:hAnsiTheme="minorEastAsia" w:eastAsiaTheme="minorEastAsia" w:cstheme="minorEastAsia"/>
          <w:b/>
          <w:iCs/>
          <w:color w:val="000000" w:themeColor="text1"/>
          <w14:textFill>
            <w14:solidFill>
              <w14:schemeClr w14:val="tx1"/>
            </w14:solidFill>
          </w14:textFill>
        </w:rPr>
      </w:pPr>
      <w:r>
        <w:rPr>
          <w:rFonts w:asciiTheme="minorEastAsia" w:hAnsiTheme="minorEastAsia" w:eastAsiaTheme="minorEastAsia" w:cstheme="minorEastAsia"/>
          <w:b/>
          <w:iCs/>
          <w:color w:val="000000" w:themeColor="text1"/>
          <w14:textFill>
            <w14:solidFill>
              <w14:schemeClr w14:val="tx1"/>
            </w14:solidFill>
          </w14:textFill>
        </w:rPr>
        <w:t>（一）技术先进性</w:t>
      </w:r>
    </w:p>
    <w:p>
      <w:pPr>
        <w:ind w:firstLine="480"/>
        <w:rPr>
          <w:rFonts w:hint="default" w:asciiTheme="minorEastAsia" w:hAnsiTheme="minorEastAsia" w:eastAsiaTheme="minorEastAsia" w:cstheme="minorEastAsia"/>
          <w:iCs/>
          <w:color w:val="000000" w:themeColor="text1"/>
          <w14:textFill>
            <w14:solidFill>
              <w14:schemeClr w14:val="tx1"/>
            </w14:solidFill>
          </w14:textFill>
        </w:rPr>
      </w:pPr>
      <w:r>
        <w:rPr>
          <w:rFonts w:hint="eastAsia" w:asciiTheme="minorEastAsia" w:hAnsiTheme="minorEastAsia" w:eastAsiaTheme="minorEastAsia" w:cstheme="minorEastAsia"/>
          <w:iCs/>
          <w:color w:val="000000" w:themeColor="text1"/>
          <w:lang w:val="en-US" w:eastAsia="zh-CN"/>
          <w14:textFill>
            <w14:solidFill>
              <w14:schemeClr w14:val="tx1"/>
            </w14:solidFill>
          </w14:textFill>
        </w:rPr>
        <w:t>RPA业务流程维护及</w:t>
      </w:r>
      <w:bookmarkStart w:id="491" w:name="_GoBack"/>
      <w:bookmarkEnd w:id="491"/>
      <w:r>
        <w:rPr>
          <w:rFonts w:hint="eastAsia" w:asciiTheme="minorEastAsia" w:hAnsiTheme="minorEastAsia" w:eastAsiaTheme="minorEastAsia" w:cstheme="minorEastAsia"/>
          <w:iCs/>
          <w:color w:val="000000" w:themeColor="text1"/>
          <w:lang w:val="en-US" w:eastAsia="zh-CN"/>
          <w14:textFill>
            <w14:solidFill>
              <w14:schemeClr w14:val="tx1"/>
            </w14:solidFill>
          </w14:textFill>
        </w:rPr>
        <w:t>改造项目</w:t>
      </w:r>
      <w:r>
        <w:rPr>
          <w:rFonts w:asciiTheme="minorEastAsia" w:hAnsiTheme="minorEastAsia" w:eastAsiaTheme="minorEastAsia" w:cstheme="minorEastAsia"/>
          <w:iCs/>
          <w:color w:val="000000" w:themeColor="text1"/>
          <w14:textFill>
            <w14:solidFill>
              <w14:schemeClr w14:val="tx1"/>
            </w14:solidFill>
          </w14:textFill>
        </w:rPr>
        <w:t>在技术上必须具备前瞻性，根据未来技术的发展趋势，考虑整个软硬件系统的体系架构，选择先进的软硬件系统平台、基于最佳实践的应用系统设计，保证在一定时期内整个系统技术的先进性。同时，在设备配置时，采用适度超前的原则，预留一定能力资源和容量空间，以降低业务发展和系统的升级给系统可能带来的负载压力，保证系统的可持续发展。</w:t>
      </w:r>
    </w:p>
    <w:p>
      <w:pPr>
        <w:ind w:firstLine="482"/>
        <w:rPr>
          <w:rFonts w:hint="default" w:asciiTheme="minorEastAsia" w:hAnsiTheme="minorEastAsia" w:eastAsiaTheme="minorEastAsia" w:cstheme="minorEastAsia"/>
          <w:b/>
          <w:iCs/>
          <w:color w:val="000000" w:themeColor="text1"/>
          <w14:textFill>
            <w14:solidFill>
              <w14:schemeClr w14:val="tx1"/>
            </w14:solidFill>
          </w14:textFill>
        </w:rPr>
      </w:pPr>
      <w:r>
        <w:rPr>
          <w:rFonts w:asciiTheme="minorEastAsia" w:hAnsiTheme="minorEastAsia" w:eastAsiaTheme="minorEastAsia" w:cstheme="minorEastAsia"/>
          <w:b/>
          <w:iCs/>
          <w:color w:val="000000" w:themeColor="text1"/>
          <w14:textFill>
            <w14:solidFill>
              <w14:schemeClr w14:val="tx1"/>
            </w14:solidFill>
          </w14:textFill>
        </w:rPr>
        <w:t>（二）高可靠性</w:t>
      </w:r>
    </w:p>
    <w:p>
      <w:pPr>
        <w:ind w:firstLine="480"/>
        <w:rPr>
          <w:rFonts w:hint="default" w:asciiTheme="minorEastAsia" w:hAnsiTheme="minorEastAsia" w:eastAsiaTheme="minorEastAsia" w:cstheme="minorEastAsia"/>
          <w:iCs/>
          <w:color w:val="000000" w:themeColor="text1"/>
          <w14:textFill>
            <w14:solidFill>
              <w14:schemeClr w14:val="tx1"/>
            </w14:solidFill>
          </w14:textFill>
        </w:rPr>
      </w:pPr>
      <w:r>
        <w:rPr>
          <w:rFonts w:asciiTheme="minorEastAsia" w:hAnsiTheme="minorEastAsia" w:eastAsiaTheme="minorEastAsia" w:cstheme="minorEastAsia"/>
          <w:iCs/>
          <w:color w:val="000000" w:themeColor="text1"/>
          <w14:textFill>
            <w14:solidFill>
              <w14:schemeClr w14:val="tx1"/>
            </w14:solidFill>
          </w14:textFill>
        </w:rPr>
        <w:t>在应用和数据系统上采取容灾和备份设计、在硬件设备上采取双机互备等多种技术手段，需要具备数据备份能力、容错能力、故障恢复能力及远程备份能力，以确保系统的稳定可靠运行。</w:t>
      </w:r>
    </w:p>
    <w:p>
      <w:pPr>
        <w:ind w:firstLine="482"/>
        <w:rPr>
          <w:rFonts w:hint="default" w:asciiTheme="minorEastAsia" w:hAnsiTheme="minorEastAsia" w:eastAsiaTheme="minorEastAsia" w:cstheme="minorEastAsia"/>
          <w:b/>
          <w:iCs/>
          <w:color w:val="000000" w:themeColor="text1"/>
          <w14:textFill>
            <w14:solidFill>
              <w14:schemeClr w14:val="tx1"/>
            </w14:solidFill>
          </w14:textFill>
        </w:rPr>
      </w:pPr>
      <w:r>
        <w:rPr>
          <w:rFonts w:asciiTheme="minorEastAsia" w:hAnsiTheme="minorEastAsia" w:eastAsiaTheme="minorEastAsia" w:cstheme="minorEastAsia"/>
          <w:b/>
          <w:iCs/>
          <w:color w:val="000000" w:themeColor="text1"/>
          <w14:textFill>
            <w14:solidFill>
              <w14:schemeClr w14:val="tx1"/>
            </w14:solidFill>
          </w14:textFill>
        </w:rPr>
        <w:t>（三）安全性</w:t>
      </w:r>
    </w:p>
    <w:p>
      <w:pPr>
        <w:ind w:firstLine="480"/>
        <w:rPr>
          <w:rFonts w:hint="default" w:asciiTheme="minorEastAsia" w:hAnsiTheme="minorEastAsia" w:eastAsiaTheme="minorEastAsia" w:cstheme="minorEastAsia"/>
          <w:iCs/>
          <w:color w:val="000000" w:themeColor="text1"/>
          <w14:textFill>
            <w14:solidFill>
              <w14:schemeClr w14:val="tx1"/>
            </w14:solidFill>
          </w14:textFill>
        </w:rPr>
      </w:pPr>
      <w:r>
        <w:rPr>
          <w:rFonts w:asciiTheme="minorEastAsia" w:hAnsiTheme="minorEastAsia" w:eastAsiaTheme="minorEastAsia" w:cstheme="minorEastAsia"/>
          <w:iCs/>
          <w:color w:val="000000" w:themeColor="text1"/>
          <w14:textFill>
            <w14:solidFill>
              <w14:schemeClr w14:val="tx1"/>
            </w14:solidFill>
          </w14:textFill>
        </w:rPr>
        <w:t>保证</w:t>
      </w:r>
      <w:r>
        <w:rPr>
          <w:rFonts w:hint="eastAsia" w:asciiTheme="minorEastAsia" w:hAnsiTheme="minorEastAsia" w:eastAsiaTheme="minorEastAsia" w:cstheme="minorEastAsia"/>
          <w:iCs/>
          <w:color w:val="000000" w:themeColor="text1"/>
          <w:lang w:val="en-US" w:eastAsia="zh-CN"/>
          <w14:textFill>
            <w14:solidFill>
              <w14:schemeClr w14:val="tx1"/>
            </w14:solidFill>
          </w14:textFill>
        </w:rPr>
        <w:t>RPA业务流程维护及改造项目</w:t>
      </w:r>
      <w:r>
        <w:rPr>
          <w:rFonts w:asciiTheme="minorEastAsia" w:hAnsiTheme="minorEastAsia" w:eastAsiaTheme="minorEastAsia" w:cstheme="minorEastAsia"/>
          <w:iCs/>
          <w:color w:val="000000" w:themeColor="text1"/>
          <w14:textFill>
            <w14:solidFill>
              <w14:schemeClr w14:val="tx1"/>
            </w14:solidFill>
          </w14:textFill>
        </w:rPr>
        <w:t>的安全性，包括信息库的安全性、管理系统的安全性、传输的安全性</w:t>
      </w:r>
      <w:r>
        <w:rPr>
          <w:rFonts w:hint="eastAsia" w:asciiTheme="minorEastAsia" w:hAnsiTheme="minorEastAsia" w:eastAsiaTheme="minorEastAsia" w:cstheme="minorEastAsia"/>
          <w:iCs/>
          <w:color w:val="000000" w:themeColor="text1"/>
          <w:lang w:eastAsia="zh-CN"/>
          <w14:textFill>
            <w14:solidFill>
              <w14:schemeClr w14:val="tx1"/>
            </w14:solidFill>
          </w14:textFill>
        </w:rPr>
        <w:t>、</w:t>
      </w:r>
      <w:r>
        <w:rPr>
          <w:rFonts w:hint="eastAsia" w:asciiTheme="minorEastAsia" w:hAnsiTheme="minorEastAsia" w:eastAsiaTheme="minorEastAsia" w:cstheme="minorEastAsia"/>
          <w:iCs/>
          <w:color w:val="000000" w:themeColor="text1"/>
          <w:lang w:val="en-US" w:eastAsia="zh-CN"/>
          <w14:textFill>
            <w14:solidFill>
              <w14:schemeClr w14:val="tx1"/>
            </w14:solidFill>
          </w14:textFill>
        </w:rPr>
        <w:t>共享盘的安全性</w:t>
      </w:r>
      <w:r>
        <w:rPr>
          <w:rFonts w:asciiTheme="minorEastAsia" w:hAnsiTheme="minorEastAsia" w:eastAsiaTheme="minorEastAsia" w:cstheme="minorEastAsia"/>
          <w:iCs/>
          <w:color w:val="000000" w:themeColor="text1"/>
          <w14:textFill>
            <w14:solidFill>
              <w14:schemeClr w14:val="tx1"/>
            </w14:solidFill>
          </w14:textFill>
        </w:rPr>
        <w:t>等。</w:t>
      </w:r>
      <w:r>
        <w:rPr>
          <w:rFonts w:hint="eastAsia" w:asciiTheme="minorEastAsia" w:hAnsiTheme="minorEastAsia" w:eastAsiaTheme="minorEastAsia" w:cstheme="minorEastAsia"/>
          <w:iCs/>
          <w:color w:val="000000" w:themeColor="text1"/>
          <w:lang w:val="en-US" w:eastAsia="zh-CN"/>
          <w14:textFill>
            <w14:solidFill>
              <w14:schemeClr w14:val="tx1"/>
            </w14:solidFill>
          </w14:textFill>
        </w:rPr>
        <w:t>RPA业务流程维护及改造项目</w:t>
      </w:r>
      <w:r>
        <w:rPr>
          <w:rFonts w:asciiTheme="minorEastAsia" w:hAnsiTheme="minorEastAsia" w:eastAsiaTheme="minorEastAsia" w:cstheme="minorEastAsia"/>
          <w:iCs/>
          <w:color w:val="000000" w:themeColor="text1"/>
          <w14:textFill>
            <w14:solidFill>
              <w14:schemeClr w14:val="tx1"/>
            </w14:solidFill>
          </w14:textFill>
        </w:rPr>
        <w:t>应具有基本的防病毒能力、防DOS攻击能力，并具备安全报警能力。严格界定操作权限，实行分级管理，对各类数据实施保护，完成记录各类操作，以便监督管理和责任追究。安全性应满足且不限于以下要求：</w:t>
      </w:r>
    </w:p>
    <w:p>
      <w:pPr>
        <w:ind w:firstLine="480"/>
        <w:rPr>
          <w:rFonts w:hint="default" w:asciiTheme="minorEastAsia" w:hAnsiTheme="minorEastAsia" w:eastAsiaTheme="minorEastAsia" w:cstheme="minorEastAsia"/>
          <w:iCs/>
          <w:color w:val="000000" w:themeColor="text1"/>
          <w14:textFill>
            <w14:solidFill>
              <w14:schemeClr w14:val="tx1"/>
            </w14:solidFill>
          </w14:textFill>
        </w:rPr>
      </w:pPr>
      <w:r>
        <w:rPr>
          <w:rFonts w:asciiTheme="minorEastAsia" w:hAnsiTheme="minorEastAsia" w:eastAsiaTheme="minorEastAsia" w:cstheme="minorEastAsia"/>
          <w:iCs/>
          <w:color w:val="000000" w:themeColor="text1"/>
          <w14:textFill>
            <w14:solidFill>
              <w14:schemeClr w14:val="tx1"/>
            </w14:solidFill>
          </w14:textFill>
        </w:rPr>
        <w:t>（1）系统要配置和构建可靠、实用的安全策略和机制，以保证系统安全和数据安全，满足招标人和相关监管部门对安全和风险管理的要求。</w:t>
      </w:r>
    </w:p>
    <w:p>
      <w:pPr>
        <w:ind w:firstLine="480"/>
        <w:rPr>
          <w:rFonts w:hint="default" w:asciiTheme="minorEastAsia" w:hAnsiTheme="minorEastAsia" w:eastAsiaTheme="minorEastAsia" w:cstheme="minorEastAsia"/>
          <w:iCs/>
          <w:color w:val="000000" w:themeColor="text1"/>
          <w14:textFill>
            <w14:solidFill>
              <w14:schemeClr w14:val="tx1"/>
            </w14:solidFill>
          </w14:textFill>
        </w:rPr>
      </w:pPr>
      <w:r>
        <w:rPr>
          <w:rFonts w:asciiTheme="minorEastAsia" w:hAnsiTheme="minorEastAsia" w:eastAsiaTheme="minorEastAsia" w:cstheme="minorEastAsia"/>
          <w:iCs/>
          <w:color w:val="000000" w:themeColor="text1"/>
          <w14:textFill>
            <w14:solidFill>
              <w14:schemeClr w14:val="tx1"/>
            </w14:solidFill>
          </w14:textFill>
        </w:rPr>
        <w:t>（2）根据不同的业务要求和应用处理方式，设置不同的安全措施和环节，以满足业务管理、业务授权以及流程管理中的业务安全性要求。</w:t>
      </w:r>
    </w:p>
    <w:p>
      <w:pPr>
        <w:ind w:firstLine="480"/>
        <w:rPr>
          <w:rFonts w:hint="default" w:asciiTheme="minorEastAsia" w:hAnsiTheme="minorEastAsia" w:eastAsiaTheme="minorEastAsia" w:cstheme="minorEastAsia"/>
          <w:iCs/>
        </w:rPr>
      </w:pPr>
      <w:r>
        <w:rPr>
          <w:rFonts w:asciiTheme="minorEastAsia" w:hAnsiTheme="minorEastAsia" w:eastAsiaTheme="minorEastAsia" w:cstheme="minorEastAsia"/>
          <w:iCs/>
        </w:rPr>
        <w:t>（3）对应用系统用户采用身份验证和权限控制，包括机构、角色、用户组、用户、权限管理等，采用用户登录认证，具备完善的安全机制，以防止未授权的访问和使用。同时，具备完善的机构、用户、角色、权限管理体系，以确保客户信息在授权范围内得到合理使用。</w:t>
      </w:r>
    </w:p>
    <w:p>
      <w:pPr>
        <w:ind w:firstLine="480"/>
        <w:rPr>
          <w:rFonts w:hint="default" w:asciiTheme="minorEastAsia" w:hAnsiTheme="minorEastAsia" w:eastAsiaTheme="minorEastAsia" w:cstheme="minorEastAsia"/>
          <w:iCs/>
          <w:color w:val="000000" w:themeColor="text1"/>
          <w14:textFill>
            <w14:solidFill>
              <w14:schemeClr w14:val="tx1"/>
            </w14:solidFill>
          </w14:textFill>
        </w:rPr>
      </w:pPr>
      <w:r>
        <w:rPr>
          <w:rFonts w:asciiTheme="minorEastAsia" w:hAnsiTheme="minorEastAsia" w:eastAsiaTheme="minorEastAsia" w:cstheme="minorEastAsia"/>
          <w:iCs/>
          <w:color w:val="000000" w:themeColor="text1"/>
          <w14:textFill>
            <w14:solidFill>
              <w14:schemeClr w14:val="tx1"/>
            </w14:solidFill>
          </w14:textFill>
        </w:rPr>
        <w:t>（4）敏感数据信息（如密码</w:t>
      </w:r>
      <w:r>
        <w:rPr>
          <w:rFonts w:asciiTheme="minorEastAsia" w:hAnsiTheme="minorEastAsia" w:eastAsiaTheme="minorEastAsia" w:cstheme="minorEastAsia"/>
          <w:iCs/>
          <w:color w:val="000000" w:themeColor="text1"/>
          <w:lang w:eastAsia="zh-Hans"/>
          <w14:textFill>
            <w14:solidFill>
              <w14:schemeClr w14:val="tx1"/>
            </w14:solidFill>
          </w14:textFill>
        </w:rPr>
        <w:t>、客户信息</w:t>
      </w:r>
      <w:r>
        <w:rPr>
          <w:rFonts w:asciiTheme="minorEastAsia" w:hAnsiTheme="minorEastAsia" w:eastAsiaTheme="minorEastAsia" w:cstheme="minorEastAsia"/>
          <w:iCs/>
          <w:color w:val="000000" w:themeColor="text1"/>
          <w14:textFill>
            <w14:solidFill>
              <w14:schemeClr w14:val="tx1"/>
            </w14:solidFill>
          </w14:textFill>
        </w:rPr>
        <w:t>）必须加密存储，不能以明文方式保存。</w:t>
      </w:r>
    </w:p>
    <w:p>
      <w:pPr>
        <w:ind w:firstLine="480"/>
        <w:rPr>
          <w:rFonts w:hint="default" w:asciiTheme="minorEastAsia" w:hAnsiTheme="minorEastAsia" w:eastAsiaTheme="minorEastAsia" w:cstheme="minorEastAsia"/>
          <w:iCs/>
          <w:color w:val="000000" w:themeColor="text1"/>
          <w14:textFill>
            <w14:solidFill>
              <w14:schemeClr w14:val="tx1"/>
            </w14:solidFill>
          </w14:textFill>
        </w:rPr>
      </w:pPr>
      <w:r>
        <w:rPr>
          <w:rFonts w:asciiTheme="minorEastAsia" w:hAnsiTheme="minorEastAsia" w:eastAsiaTheme="minorEastAsia" w:cstheme="minorEastAsia"/>
          <w:iCs/>
          <w:color w:val="000000" w:themeColor="text1"/>
          <w14:textFill>
            <w14:solidFill>
              <w14:schemeClr w14:val="tx1"/>
            </w14:solidFill>
          </w14:textFill>
        </w:rPr>
        <w:t>（5）系统必须具有严谨周密的安全体系结构，能够提供有效、全方位、多层次的安全机制，以抵御可能产生的恶意攻击和病毒侵蚀，并且在运行安全、网络安全和应用系统安全等方面有合理可靠的策略。</w:t>
      </w:r>
    </w:p>
    <w:p>
      <w:pPr>
        <w:ind w:firstLine="482"/>
        <w:rPr>
          <w:rFonts w:hint="default" w:asciiTheme="minorEastAsia" w:hAnsiTheme="minorEastAsia" w:eastAsiaTheme="minorEastAsia" w:cstheme="minorEastAsia"/>
          <w:b/>
          <w:iCs/>
          <w:color w:val="000000" w:themeColor="text1"/>
          <w14:textFill>
            <w14:solidFill>
              <w14:schemeClr w14:val="tx1"/>
            </w14:solidFill>
          </w14:textFill>
        </w:rPr>
      </w:pPr>
      <w:r>
        <w:rPr>
          <w:rFonts w:asciiTheme="minorEastAsia" w:hAnsiTheme="minorEastAsia" w:eastAsiaTheme="minorEastAsia" w:cstheme="minorEastAsia"/>
          <w:b/>
          <w:iCs/>
          <w:color w:val="000000" w:themeColor="text1"/>
          <w14:textFill>
            <w14:solidFill>
              <w14:schemeClr w14:val="tx1"/>
            </w14:solidFill>
          </w14:textFill>
        </w:rPr>
        <w:t>（四）技术开放性</w:t>
      </w:r>
    </w:p>
    <w:p>
      <w:pPr>
        <w:ind w:firstLine="480"/>
        <w:rPr>
          <w:rFonts w:hint="default" w:asciiTheme="minorEastAsia" w:hAnsiTheme="minorEastAsia" w:eastAsiaTheme="minorEastAsia" w:cstheme="minorEastAsia"/>
          <w:iCs/>
          <w:color w:val="000000" w:themeColor="text1"/>
          <w14:textFill>
            <w14:solidFill>
              <w14:schemeClr w14:val="tx1"/>
            </w14:solidFill>
          </w14:textFill>
        </w:rPr>
      </w:pPr>
      <w:r>
        <w:rPr>
          <w:rFonts w:asciiTheme="minorEastAsia" w:hAnsiTheme="minorEastAsia" w:eastAsiaTheme="minorEastAsia" w:cstheme="minorEastAsia"/>
          <w:iCs/>
          <w:color w:val="000000" w:themeColor="text1"/>
          <w14:textFill>
            <w14:solidFill>
              <w14:schemeClr w14:val="tx1"/>
            </w14:solidFill>
          </w14:textFill>
        </w:rPr>
        <w:t>（1）采用或支持当前应用广泛的业界开放标准，保证系统能够与其它应用系统等相互交换数据并进行应用级的互操作和互连性，便于与外部系统进行数据和业务的集成。</w:t>
      </w:r>
    </w:p>
    <w:p>
      <w:pPr>
        <w:ind w:firstLine="480"/>
        <w:rPr>
          <w:rFonts w:hint="default" w:asciiTheme="minorEastAsia" w:hAnsiTheme="minorEastAsia" w:eastAsiaTheme="minorEastAsia" w:cstheme="minorEastAsia"/>
          <w:iCs/>
          <w:color w:val="000000" w:themeColor="text1"/>
          <w14:textFill>
            <w14:solidFill>
              <w14:schemeClr w14:val="tx1"/>
            </w14:solidFill>
          </w14:textFill>
        </w:rPr>
      </w:pPr>
      <w:r>
        <w:rPr>
          <w:rFonts w:asciiTheme="minorEastAsia" w:hAnsiTheme="minorEastAsia" w:eastAsiaTheme="minorEastAsia" w:cstheme="minorEastAsia"/>
          <w:iCs/>
          <w:color w:val="000000" w:themeColor="text1"/>
          <w14:textFill>
            <w14:solidFill>
              <w14:schemeClr w14:val="tx1"/>
            </w14:solidFill>
          </w14:textFill>
        </w:rPr>
        <w:t>（2）采用或支持业界主流基础软硬件设备，包括服务器、存储设备、网络设备、高性能闪存设备、操作系统、虚拟软件，方便</w:t>
      </w:r>
      <w:r>
        <w:rPr>
          <w:rFonts w:hint="eastAsia" w:asciiTheme="minorEastAsia" w:hAnsiTheme="minorEastAsia" w:eastAsiaTheme="minorEastAsia" w:cstheme="minorEastAsia"/>
          <w:iCs/>
          <w:color w:val="000000" w:themeColor="text1"/>
          <w:lang w:eastAsia="zh-CN"/>
          <w14:textFill>
            <w14:solidFill>
              <w14:schemeClr w14:val="tx1"/>
            </w14:solidFill>
          </w14:textFill>
        </w:rPr>
        <w:t>RPA业务流程维护及改造</w:t>
      </w:r>
      <w:r>
        <w:rPr>
          <w:rFonts w:hint="eastAsia" w:asciiTheme="minorEastAsia" w:hAnsiTheme="minorEastAsia" w:eastAsiaTheme="minorEastAsia" w:cstheme="minorEastAsia"/>
          <w:iCs/>
          <w:color w:val="000000" w:themeColor="text1"/>
          <w14:textFill>
            <w14:solidFill>
              <w14:schemeClr w14:val="tx1"/>
            </w14:solidFill>
          </w14:textFill>
        </w:rPr>
        <w:t>项目</w:t>
      </w:r>
      <w:r>
        <w:rPr>
          <w:rFonts w:asciiTheme="minorEastAsia" w:hAnsiTheme="minorEastAsia" w:eastAsiaTheme="minorEastAsia" w:cstheme="minorEastAsia"/>
          <w:iCs/>
          <w:color w:val="000000" w:themeColor="text1"/>
          <w14:textFill>
            <w14:solidFill>
              <w14:schemeClr w14:val="tx1"/>
            </w14:solidFill>
          </w14:textFill>
        </w:rPr>
        <w:t>对基础IT环境的适应性。</w:t>
      </w:r>
    </w:p>
    <w:p>
      <w:pPr>
        <w:ind w:firstLine="482"/>
        <w:rPr>
          <w:rFonts w:hint="default" w:asciiTheme="minorEastAsia" w:hAnsiTheme="minorEastAsia" w:eastAsiaTheme="minorEastAsia" w:cstheme="minorEastAsia"/>
          <w:b/>
          <w:iCs/>
          <w:color w:val="000000" w:themeColor="text1"/>
          <w14:textFill>
            <w14:solidFill>
              <w14:schemeClr w14:val="tx1"/>
            </w14:solidFill>
          </w14:textFill>
        </w:rPr>
      </w:pPr>
      <w:r>
        <w:rPr>
          <w:rFonts w:asciiTheme="minorEastAsia" w:hAnsiTheme="minorEastAsia" w:eastAsiaTheme="minorEastAsia" w:cstheme="minorEastAsia"/>
          <w:b/>
          <w:iCs/>
          <w:color w:val="000000" w:themeColor="text1"/>
          <w14:textFill>
            <w14:solidFill>
              <w14:schemeClr w14:val="tx1"/>
            </w14:solidFill>
          </w14:textFill>
        </w:rPr>
        <w:t>（五）可扩展性</w:t>
      </w:r>
    </w:p>
    <w:p>
      <w:pPr>
        <w:ind w:firstLine="480"/>
        <w:rPr>
          <w:rFonts w:hint="default" w:asciiTheme="minorEastAsia" w:hAnsiTheme="minorEastAsia" w:eastAsiaTheme="minorEastAsia" w:cstheme="minorEastAsia"/>
          <w:iCs/>
          <w:color w:val="000000" w:themeColor="text1"/>
          <w14:textFill>
            <w14:solidFill>
              <w14:schemeClr w14:val="tx1"/>
            </w14:solidFill>
          </w14:textFill>
        </w:rPr>
      </w:pPr>
      <w:r>
        <w:rPr>
          <w:rFonts w:asciiTheme="minorEastAsia" w:hAnsiTheme="minorEastAsia" w:eastAsiaTheme="minorEastAsia" w:cstheme="minorEastAsia"/>
          <w:iCs/>
          <w:color w:val="000000" w:themeColor="text1"/>
          <w14:textFill>
            <w14:solidFill>
              <w14:schemeClr w14:val="tx1"/>
            </w14:solidFill>
          </w14:textFill>
        </w:rPr>
        <w:t>平台应具备良好的可扩展能力。包括：</w:t>
      </w:r>
    </w:p>
    <w:p>
      <w:pPr>
        <w:ind w:firstLine="480"/>
        <w:rPr>
          <w:rFonts w:hint="default" w:asciiTheme="minorEastAsia" w:hAnsiTheme="minorEastAsia" w:eastAsiaTheme="minorEastAsia" w:cstheme="minorEastAsia"/>
          <w:iCs/>
          <w:color w:val="000000" w:themeColor="text1"/>
          <w14:textFill>
            <w14:solidFill>
              <w14:schemeClr w14:val="tx1"/>
            </w14:solidFill>
          </w14:textFill>
        </w:rPr>
      </w:pPr>
      <w:r>
        <w:rPr>
          <w:rFonts w:asciiTheme="minorEastAsia" w:hAnsiTheme="minorEastAsia" w:eastAsiaTheme="minorEastAsia" w:cstheme="minorEastAsia"/>
          <w:iCs/>
          <w:color w:val="000000" w:themeColor="text1"/>
          <w14:textFill>
            <w14:solidFill>
              <w14:schemeClr w14:val="tx1"/>
            </w14:solidFill>
          </w14:textFill>
        </w:rPr>
        <w:t>（1）功能可扩展。可增加新功能，同时避免对</w:t>
      </w:r>
      <w:r>
        <w:rPr>
          <w:rFonts w:hint="eastAsia" w:asciiTheme="minorEastAsia" w:hAnsiTheme="minorEastAsia" w:eastAsiaTheme="minorEastAsia" w:cstheme="minorEastAsia"/>
          <w:iCs/>
          <w:color w:val="000000" w:themeColor="text1"/>
          <w:lang w:val="en-US" w:eastAsia="zh-CN"/>
          <w14:textFill>
            <w14:solidFill>
              <w14:schemeClr w14:val="tx1"/>
            </w14:solidFill>
          </w14:textFill>
        </w:rPr>
        <w:t>系统</w:t>
      </w:r>
      <w:r>
        <w:rPr>
          <w:rFonts w:asciiTheme="minorEastAsia" w:hAnsiTheme="minorEastAsia" w:eastAsiaTheme="minorEastAsia" w:cstheme="minorEastAsia"/>
          <w:iCs/>
          <w:color w:val="000000" w:themeColor="text1"/>
          <w14:textFill>
            <w14:solidFill>
              <w14:schemeClr w14:val="tx1"/>
            </w14:solidFill>
          </w14:textFill>
        </w:rPr>
        <w:t>进行大规模变动；</w:t>
      </w:r>
      <w:r>
        <w:rPr>
          <w:rFonts w:hint="eastAsia" w:asciiTheme="minorEastAsia" w:hAnsiTheme="minorEastAsia" w:eastAsiaTheme="minorEastAsia" w:cstheme="minorEastAsia"/>
          <w:iCs/>
          <w:color w:val="000000" w:themeColor="text1"/>
          <w:lang w:val="en-US" w:eastAsia="zh-CN"/>
          <w14:textFill>
            <w14:solidFill>
              <w14:schemeClr w14:val="tx1"/>
            </w14:solidFill>
          </w14:textFill>
        </w:rPr>
        <w:t>流程</w:t>
      </w:r>
      <w:r>
        <w:rPr>
          <w:rFonts w:asciiTheme="minorEastAsia" w:hAnsiTheme="minorEastAsia" w:eastAsiaTheme="minorEastAsia" w:cstheme="minorEastAsia"/>
          <w:iCs/>
          <w:color w:val="000000" w:themeColor="text1"/>
          <w14:textFill>
            <w14:solidFill>
              <w14:schemeClr w14:val="tx1"/>
            </w14:solidFill>
          </w14:textFill>
        </w:rPr>
        <w:t>可扩展，</w:t>
      </w:r>
      <w:r>
        <w:rPr>
          <w:rFonts w:hint="eastAsia" w:asciiTheme="minorEastAsia" w:hAnsiTheme="minorEastAsia" w:eastAsiaTheme="minorEastAsia" w:cstheme="minorEastAsia"/>
          <w:iCs/>
          <w:color w:val="000000" w:themeColor="text1"/>
          <w:lang w:val="en-US" w:eastAsia="zh-CN"/>
          <w14:textFill>
            <w14:solidFill>
              <w14:schemeClr w14:val="tx1"/>
            </w14:solidFill>
          </w14:textFill>
        </w:rPr>
        <w:t>流程数</w:t>
      </w:r>
      <w:r>
        <w:rPr>
          <w:rFonts w:asciiTheme="minorEastAsia" w:hAnsiTheme="minorEastAsia" w:eastAsiaTheme="minorEastAsia" w:cstheme="minorEastAsia"/>
          <w:iCs/>
          <w:color w:val="000000" w:themeColor="text1"/>
          <w14:textFill>
            <w14:solidFill>
              <w14:schemeClr w14:val="tx1"/>
            </w14:solidFill>
          </w14:textFill>
        </w:rPr>
        <w:t>量的增加，并不影响系统架构和业务开展；</w:t>
      </w:r>
    </w:p>
    <w:p>
      <w:pPr>
        <w:ind w:firstLine="480"/>
        <w:rPr>
          <w:rFonts w:hint="default" w:asciiTheme="minorEastAsia" w:hAnsiTheme="minorEastAsia" w:eastAsiaTheme="minorEastAsia" w:cstheme="minorEastAsia"/>
          <w:iCs/>
          <w:color w:val="000000" w:themeColor="text1"/>
          <w14:textFill>
            <w14:solidFill>
              <w14:schemeClr w14:val="tx1"/>
            </w14:solidFill>
          </w14:textFill>
        </w:rPr>
      </w:pPr>
      <w:r>
        <w:rPr>
          <w:rFonts w:asciiTheme="minorEastAsia" w:hAnsiTheme="minorEastAsia" w:eastAsiaTheme="minorEastAsia" w:cstheme="minorEastAsia"/>
          <w:iCs/>
          <w:color w:val="000000" w:themeColor="text1"/>
          <w14:textFill>
            <w14:solidFill>
              <w14:schemeClr w14:val="tx1"/>
            </w14:solidFill>
          </w14:textFill>
        </w:rPr>
        <w:t>（2）业务可扩展。系统必须保证任何新增加的设备或应用不会影响核心设备的性能。系统以功能部件组合划分模块，以功能部件、功能模块的组合划分子系统，便于子系统的重组，使整个系统的特殊需求和系统的通用性结合起来。</w:t>
      </w:r>
    </w:p>
    <w:p>
      <w:pPr>
        <w:ind w:firstLine="482"/>
        <w:rPr>
          <w:rFonts w:hint="default" w:asciiTheme="minorEastAsia" w:hAnsiTheme="minorEastAsia" w:eastAsiaTheme="minorEastAsia" w:cstheme="minorEastAsia"/>
          <w:b/>
          <w:iCs/>
          <w:color w:val="000000" w:themeColor="text1"/>
          <w14:textFill>
            <w14:solidFill>
              <w14:schemeClr w14:val="tx1"/>
            </w14:solidFill>
          </w14:textFill>
        </w:rPr>
      </w:pPr>
      <w:r>
        <w:rPr>
          <w:rFonts w:asciiTheme="minorEastAsia" w:hAnsiTheme="minorEastAsia" w:eastAsiaTheme="minorEastAsia" w:cstheme="minorEastAsia"/>
          <w:b/>
          <w:iCs/>
          <w:color w:val="000000" w:themeColor="text1"/>
          <w14:textFill>
            <w14:solidFill>
              <w14:schemeClr w14:val="tx1"/>
            </w14:solidFill>
          </w14:textFill>
        </w:rPr>
        <w:t>（六）高可用性</w:t>
      </w:r>
    </w:p>
    <w:p>
      <w:pPr>
        <w:ind w:firstLine="480"/>
        <w:rPr>
          <w:rFonts w:hint="default" w:asciiTheme="minorEastAsia" w:hAnsiTheme="minorEastAsia" w:eastAsiaTheme="minorEastAsia" w:cstheme="minorEastAsia"/>
          <w:iCs/>
          <w:color w:val="000000" w:themeColor="text1"/>
          <w14:textFill>
            <w14:solidFill>
              <w14:schemeClr w14:val="tx1"/>
            </w14:solidFill>
          </w14:textFill>
        </w:rPr>
      </w:pPr>
      <w:r>
        <w:rPr>
          <w:rFonts w:hint="eastAsia" w:asciiTheme="minorEastAsia" w:hAnsiTheme="minorEastAsia" w:eastAsiaTheme="minorEastAsia" w:cstheme="minorEastAsia"/>
          <w:iCs/>
          <w:color w:val="000000" w:themeColor="text1"/>
          <w:lang w:val="en-US" w:eastAsia="zh-CN"/>
          <w14:textFill>
            <w14:solidFill>
              <w14:schemeClr w14:val="tx1"/>
            </w14:solidFill>
          </w14:textFill>
        </w:rPr>
        <w:t>系统</w:t>
      </w:r>
      <w:r>
        <w:rPr>
          <w:rFonts w:asciiTheme="minorEastAsia" w:hAnsiTheme="minorEastAsia" w:eastAsiaTheme="minorEastAsia" w:cstheme="minorEastAsia"/>
          <w:iCs/>
          <w:color w:val="000000" w:themeColor="text1"/>
          <w14:textFill>
            <w14:solidFill>
              <w14:schemeClr w14:val="tx1"/>
            </w14:solidFill>
          </w14:textFill>
        </w:rPr>
        <w:t>需支持分布式高可用架构，并且支持云上多节点的容灾架构，当任一节点发生故障时，另一节点能够切换并接管全部功能</w:t>
      </w:r>
      <w:r>
        <w:rPr>
          <w:rFonts w:asciiTheme="minorEastAsia" w:hAnsiTheme="minorEastAsia" w:eastAsiaTheme="minorEastAsia" w:cstheme="minorEastAsia"/>
          <w:iCs/>
          <w:color w:val="000000" w:themeColor="text1"/>
          <w:lang w:eastAsia="zh-Hans"/>
          <w14:textFill>
            <w14:solidFill>
              <w14:schemeClr w14:val="tx1"/>
            </w14:solidFill>
          </w14:textFill>
        </w:rPr>
        <w:t>，灰度发布能力</w:t>
      </w:r>
      <w:r>
        <w:rPr>
          <w:rFonts w:asciiTheme="minorEastAsia" w:hAnsiTheme="minorEastAsia" w:eastAsiaTheme="minorEastAsia" w:cstheme="minorEastAsia"/>
          <w:iCs/>
          <w:color w:val="000000" w:themeColor="text1"/>
          <w14:textFill>
            <w14:solidFill>
              <w14:schemeClr w14:val="tx1"/>
            </w14:solidFill>
          </w14:textFill>
        </w:rPr>
        <w:t>。</w:t>
      </w:r>
    </w:p>
    <w:bookmarkEnd w:id="4"/>
    <w:bookmarkEnd w:id="127"/>
    <w:bookmarkEnd w:id="128"/>
    <w:bookmarkEnd w:id="129"/>
    <w:bookmarkEnd w:id="130"/>
    <w:bookmarkEnd w:id="131"/>
    <w:p>
      <w:pPr>
        <w:pStyle w:val="4"/>
        <w:tabs>
          <w:tab w:val="left" w:pos="1534"/>
        </w:tabs>
        <w:spacing w:after="240" w:line="360" w:lineRule="auto"/>
        <w:ind w:left="0"/>
        <w:rPr>
          <w:rFonts w:hint="default"/>
        </w:rPr>
      </w:pPr>
      <w:bookmarkStart w:id="139" w:name="_Toc111108466"/>
      <w:bookmarkStart w:id="140" w:name="_Toc7090"/>
      <w:bookmarkStart w:id="141" w:name="_Toc147222359"/>
      <w:bookmarkStart w:id="142" w:name="_Toc9895"/>
      <w:bookmarkStart w:id="143" w:name="_Toc14264"/>
      <w:bookmarkStart w:id="144" w:name="_Toc22463"/>
      <w:bookmarkStart w:id="145" w:name="_Toc92187034"/>
      <w:r>
        <w:t>项目实施说明</w:t>
      </w:r>
      <w:bookmarkEnd w:id="5"/>
      <w:bookmarkEnd w:id="139"/>
      <w:bookmarkEnd w:id="140"/>
      <w:bookmarkEnd w:id="141"/>
      <w:bookmarkEnd w:id="142"/>
      <w:bookmarkEnd w:id="143"/>
      <w:bookmarkEnd w:id="144"/>
      <w:bookmarkEnd w:id="145"/>
      <w:bookmarkStart w:id="146" w:name="_Toc320267722"/>
      <w:bookmarkEnd w:id="146"/>
      <w:bookmarkStart w:id="147" w:name="_Toc320265610"/>
      <w:bookmarkEnd w:id="147"/>
      <w:bookmarkStart w:id="148" w:name="_Toc320267835"/>
      <w:bookmarkEnd w:id="148"/>
      <w:bookmarkStart w:id="149" w:name="_Toc320257116"/>
      <w:bookmarkEnd w:id="149"/>
      <w:bookmarkStart w:id="150" w:name="_Toc320268193"/>
      <w:bookmarkEnd w:id="150"/>
      <w:bookmarkStart w:id="151" w:name="_Toc320257784"/>
      <w:bookmarkEnd w:id="151"/>
      <w:bookmarkStart w:id="152" w:name="_Toc320263235"/>
      <w:bookmarkEnd w:id="152"/>
      <w:bookmarkStart w:id="153" w:name="_Toc320267992"/>
      <w:bookmarkEnd w:id="153"/>
      <w:bookmarkStart w:id="154" w:name="_Toc320265306"/>
      <w:bookmarkEnd w:id="154"/>
      <w:bookmarkStart w:id="155" w:name="_Toc320261408"/>
      <w:bookmarkEnd w:id="155"/>
      <w:bookmarkStart w:id="156" w:name="_Toc320263280"/>
      <w:bookmarkEnd w:id="156"/>
      <w:bookmarkStart w:id="157" w:name="_Toc320267408"/>
      <w:bookmarkEnd w:id="157"/>
      <w:bookmarkStart w:id="158" w:name="_Toc320268148"/>
      <w:bookmarkEnd w:id="158"/>
      <w:bookmarkStart w:id="159" w:name="_Toc320265565"/>
      <w:bookmarkEnd w:id="159"/>
      <w:bookmarkStart w:id="160" w:name="_Toc320267677"/>
      <w:bookmarkEnd w:id="160"/>
      <w:bookmarkStart w:id="161" w:name="_Toc320265261"/>
      <w:bookmarkEnd w:id="161"/>
      <w:bookmarkStart w:id="162" w:name="_Toc320267363"/>
      <w:bookmarkEnd w:id="162"/>
      <w:bookmarkStart w:id="163" w:name="_Toc320265459"/>
      <w:bookmarkEnd w:id="163"/>
      <w:bookmarkStart w:id="164" w:name="_Toc320267565"/>
      <w:bookmarkEnd w:id="164"/>
      <w:bookmarkStart w:id="165" w:name="_Toc320268037"/>
      <w:bookmarkEnd w:id="165"/>
      <w:bookmarkStart w:id="166" w:name="_Toc320267520"/>
      <w:bookmarkEnd w:id="166"/>
      <w:bookmarkStart w:id="167" w:name="_Toc320264004"/>
      <w:bookmarkEnd w:id="167"/>
      <w:bookmarkStart w:id="168" w:name="_Toc320267880"/>
      <w:bookmarkEnd w:id="168"/>
      <w:bookmarkStart w:id="169" w:name="_Toc320265414"/>
      <w:bookmarkEnd w:id="169"/>
      <w:bookmarkStart w:id="170" w:name="_Toc320264049"/>
      <w:bookmarkEnd w:id="170"/>
      <w:bookmarkStart w:id="171" w:name="_Toc274061917"/>
      <w:bookmarkStart w:id="172" w:name="_Toc316825160"/>
      <w:bookmarkStart w:id="173" w:name="_Toc316824981"/>
      <w:bookmarkStart w:id="174" w:name="_Toc272656411"/>
      <w:bookmarkStart w:id="175" w:name="_Toc272188633"/>
      <w:bookmarkStart w:id="176" w:name="_Toc272829742"/>
      <w:bookmarkStart w:id="177" w:name="_Toc316824407"/>
    </w:p>
    <w:p>
      <w:pPr>
        <w:pStyle w:val="11"/>
        <w:spacing w:before="0" w:after="0"/>
        <w:ind w:firstLine="480"/>
        <w:rPr>
          <w:rFonts w:hint="default" w:hAnsi="宋体"/>
          <w:snapToGrid w:val="0"/>
          <w:sz w:val="24"/>
          <w:szCs w:val="24"/>
        </w:rPr>
      </w:pPr>
      <w:r>
        <w:rPr>
          <w:rFonts w:hAnsi="宋体"/>
          <w:snapToGrid w:val="0"/>
          <w:sz w:val="24"/>
          <w:szCs w:val="24"/>
        </w:rPr>
        <w:t>本项目包含不同技术服务，分别为需求分析、</w:t>
      </w:r>
      <w:r>
        <w:rPr>
          <w:rFonts w:hint="eastAsia" w:hAnsi="宋体"/>
          <w:snapToGrid w:val="0"/>
          <w:sz w:val="24"/>
          <w:szCs w:val="24"/>
          <w:lang w:val="en-US" w:eastAsia="zh-CN"/>
        </w:rPr>
        <w:t>流程开发优化</w:t>
      </w:r>
      <w:r>
        <w:rPr>
          <w:rFonts w:hAnsi="宋体"/>
          <w:snapToGrid w:val="0"/>
          <w:sz w:val="24"/>
          <w:szCs w:val="24"/>
        </w:rPr>
        <w:t>、</w:t>
      </w:r>
      <w:r>
        <w:rPr>
          <w:rFonts w:hint="eastAsia" w:hAnsi="宋体"/>
          <w:snapToGrid w:val="0"/>
          <w:sz w:val="24"/>
          <w:szCs w:val="24"/>
          <w:lang w:val="en-US" w:eastAsia="zh-CN"/>
        </w:rPr>
        <w:t>流程运维、</w:t>
      </w:r>
      <w:r>
        <w:rPr>
          <w:rFonts w:hAnsi="宋体"/>
          <w:snapToGrid w:val="0"/>
          <w:sz w:val="24"/>
          <w:szCs w:val="24"/>
        </w:rPr>
        <w:t>人员培训、其他增值服务等阶段。乙方在各任务阶段所执行的主要工作任务和内容包括但不限于如下：</w:t>
      </w:r>
    </w:p>
    <w:p>
      <w:pPr>
        <w:pStyle w:val="5"/>
        <w:spacing w:before="0" w:after="0" w:line="360" w:lineRule="auto"/>
        <w:rPr>
          <w:rFonts w:ascii="宋体" w:hAnsi="宋体"/>
        </w:rPr>
      </w:pPr>
      <w:bookmarkStart w:id="178" w:name="_Toc30131"/>
      <w:bookmarkStart w:id="179" w:name="_Toc13600"/>
      <w:bookmarkStart w:id="180" w:name="_Toc147222360"/>
      <w:bookmarkStart w:id="181" w:name="_Toc15721"/>
      <w:bookmarkStart w:id="182" w:name="_Toc7638"/>
      <w:r>
        <w:rPr>
          <w:rFonts w:hint="eastAsia" w:ascii="宋体" w:hAnsi="宋体"/>
        </w:rPr>
        <w:t>需求分析</w:t>
      </w:r>
      <w:bookmarkEnd w:id="178"/>
      <w:bookmarkEnd w:id="179"/>
      <w:bookmarkEnd w:id="180"/>
      <w:bookmarkEnd w:id="181"/>
      <w:bookmarkEnd w:id="182"/>
      <w:r>
        <w:rPr>
          <w:rFonts w:hint="eastAsia" w:ascii="宋体" w:hAnsi="宋体"/>
          <w:lang w:val="en-US" w:eastAsia="zh-CN"/>
        </w:rPr>
        <w:t>与流程运维</w:t>
      </w:r>
    </w:p>
    <w:p>
      <w:pPr>
        <w:numPr>
          <w:ilvl w:val="0"/>
          <w:numId w:val="6"/>
        </w:numPr>
        <w:spacing w:before="0" w:after="0"/>
        <w:ind w:left="1322" w:firstLineChars="0"/>
        <w:rPr>
          <w:rFonts w:hint="default"/>
        </w:rPr>
      </w:pPr>
      <w:r>
        <w:t>根据</w:t>
      </w:r>
      <w:r>
        <w:rPr>
          <w:rFonts w:hint="eastAsia"/>
          <w:lang w:val="en-US" w:eastAsia="zh-CN"/>
        </w:rPr>
        <w:t>用户需求</w:t>
      </w:r>
      <w:r>
        <w:t>，设计和优化实施方案；</w:t>
      </w:r>
    </w:p>
    <w:p>
      <w:pPr>
        <w:numPr>
          <w:ilvl w:val="0"/>
          <w:numId w:val="6"/>
        </w:numPr>
        <w:spacing w:before="0" w:after="0"/>
        <w:ind w:left="1322" w:firstLineChars="0"/>
        <w:rPr>
          <w:rFonts w:hint="default"/>
        </w:rPr>
      </w:pPr>
      <w:r>
        <w:rPr>
          <w:rFonts w:hint="eastAsia"/>
          <w:lang w:val="en-US" w:eastAsia="zh-CN"/>
        </w:rPr>
        <w:t>运维问题及处理方式记录</w:t>
      </w:r>
      <w:r>
        <w:t>；</w:t>
      </w:r>
    </w:p>
    <w:p>
      <w:pPr>
        <w:numPr>
          <w:ilvl w:val="0"/>
          <w:numId w:val="6"/>
        </w:numPr>
        <w:spacing w:before="0" w:after="0"/>
        <w:ind w:left="1322" w:firstLineChars="0"/>
        <w:rPr>
          <w:rFonts w:hint="default"/>
        </w:rPr>
      </w:pPr>
      <w:r>
        <w:t>输出需求规格说明书及原型，组织需求评审</w:t>
      </w:r>
      <w:r>
        <w:rPr>
          <w:rFonts w:hint="eastAsia"/>
          <w:lang w:eastAsia="zh-CN"/>
        </w:rPr>
        <w:t>、</w:t>
      </w:r>
      <w:r>
        <w:rPr>
          <w:rFonts w:hint="eastAsia"/>
          <w:lang w:val="en-US" w:eastAsia="zh-CN"/>
        </w:rPr>
        <w:t>开发评审</w:t>
      </w:r>
      <w:r>
        <w:t>；</w:t>
      </w:r>
    </w:p>
    <w:p>
      <w:pPr>
        <w:numPr>
          <w:ilvl w:val="0"/>
          <w:numId w:val="6"/>
        </w:numPr>
        <w:spacing w:before="0" w:after="0"/>
        <w:ind w:left="1322" w:firstLineChars="0"/>
        <w:rPr>
          <w:rFonts w:hint="default"/>
        </w:rPr>
      </w:pPr>
      <w:r>
        <w:t>项目实施过程的阶段性总结与汇报；</w:t>
      </w:r>
    </w:p>
    <w:p>
      <w:pPr>
        <w:numPr>
          <w:ilvl w:val="0"/>
          <w:numId w:val="6"/>
        </w:numPr>
        <w:spacing w:before="0" w:after="0"/>
        <w:ind w:left="1322" w:firstLineChars="0"/>
        <w:rPr>
          <w:rFonts w:hint="default"/>
        </w:rPr>
      </w:pPr>
      <w:r>
        <w:t>项目完成后总结会议、总结报告；</w:t>
      </w:r>
    </w:p>
    <w:p>
      <w:pPr>
        <w:numPr>
          <w:ilvl w:val="0"/>
          <w:numId w:val="6"/>
        </w:numPr>
        <w:spacing w:before="0" w:after="0"/>
        <w:ind w:left="1322" w:firstLineChars="0"/>
        <w:rPr>
          <w:rFonts w:hint="default"/>
        </w:rPr>
      </w:pPr>
      <w:r>
        <w:t>系统资源评估及环境准备；</w:t>
      </w:r>
    </w:p>
    <w:p>
      <w:pPr>
        <w:numPr>
          <w:ilvl w:val="0"/>
          <w:numId w:val="6"/>
        </w:numPr>
        <w:spacing w:before="0" w:after="0"/>
        <w:ind w:left="1322" w:firstLineChars="0"/>
        <w:rPr>
          <w:rFonts w:hint="default"/>
        </w:rPr>
      </w:pPr>
      <w:r>
        <w:t>安全及其他相关工作。</w:t>
      </w:r>
    </w:p>
    <w:p>
      <w:pPr>
        <w:pStyle w:val="5"/>
        <w:spacing w:before="0" w:after="0" w:line="360" w:lineRule="auto"/>
        <w:rPr>
          <w:rFonts w:ascii="宋体" w:hAnsi="宋体"/>
        </w:rPr>
      </w:pPr>
      <w:bookmarkStart w:id="183" w:name="_Toc13048"/>
      <w:bookmarkStart w:id="184" w:name="_Toc11303"/>
      <w:bookmarkStart w:id="185" w:name="_Toc20156"/>
      <w:bookmarkStart w:id="186" w:name="_Toc7782"/>
      <w:bookmarkStart w:id="187" w:name="_Toc147222363"/>
      <w:r>
        <w:rPr>
          <w:rFonts w:hint="eastAsia" w:ascii="宋体" w:hAnsi="宋体"/>
        </w:rPr>
        <w:t>人员培训</w:t>
      </w:r>
      <w:bookmarkEnd w:id="183"/>
      <w:bookmarkEnd w:id="184"/>
      <w:bookmarkEnd w:id="185"/>
      <w:bookmarkEnd w:id="186"/>
      <w:bookmarkEnd w:id="187"/>
    </w:p>
    <w:p>
      <w:pPr>
        <w:numPr>
          <w:ilvl w:val="0"/>
          <w:numId w:val="6"/>
        </w:numPr>
        <w:spacing w:before="0" w:after="0"/>
        <w:ind w:left="1322" w:firstLineChars="0"/>
        <w:rPr>
          <w:rFonts w:hint="default"/>
        </w:rPr>
      </w:pPr>
      <w:r>
        <w:rPr>
          <w:rFonts w:ascii="仿宋" w:hAnsi="仿宋"/>
          <w:iCs/>
          <w:color w:val="000000" w:themeColor="text1"/>
          <w14:textFill>
            <w14:solidFill>
              <w14:schemeClr w14:val="tx1"/>
            </w14:solidFill>
          </w14:textFill>
        </w:rPr>
        <w:t>针对系统</w:t>
      </w:r>
      <w:r>
        <w:rPr>
          <w:rFonts w:hint="eastAsia" w:ascii="仿宋" w:hAnsi="仿宋"/>
          <w:iCs/>
          <w:color w:val="000000" w:themeColor="text1"/>
          <w:lang w:val="en-US" w:eastAsia="zh-CN"/>
          <w14:textFill>
            <w14:solidFill>
              <w14:schemeClr w14:val="tx1"/>
            </w14:solidFill>
          </w14:textFill>
        </w:rPr>
        <w:t>流程</w:t>
      </w:r>
      <w:r>
        <w:rPr>
          <w:rFonts w:ascii="仿宋" w:hAnsi="仿宋"/>
          <w:iCs/>
          <w:color w:val="000000" w:themeColor="text1"/>
          <w14:textFill>
            <w14:solidFill>
              <w14:schemeClr w14:val="tx1"/>
            </w14:solidFill>
          </w14:textFill>
        </w:rPr>
        <w:t>及运维维护管理的培训，目标是使平台运维管理人员能快速熟悉系统的部署架构、所用技术及组件、日常运维管理、维护、故障排查等技能。</w:t>
      </w:r>
    </w:p>
    <w:p>
      <w:pPr>
        <w:numPr>
          <w:ilvl w:val="0"/>
          <w:numId w:val="6"/>
        </w:numPr>
        <w:spacing w:before="0" w:after="0"/>
        <w:ind w:left="1322" w:firstLineChars="0"/>
        <w:rPr>
          <w:rFonts w:hint="default"/>
        </w:rPr>
      </w:pPr>
      <w:r>
        <w:rPr>
          <w:rFonts w:ascii="仿宋" w:hAnsi="仿宋"/>
          <w:iCs/>
          <w:color w:val="000000" w:themeColor="text1"/>
          <w14:textFill>
            <w14:solidFill>
              <w14:schemeClr w14:val="tx1"/>
            </w14:solidFill>
          </w14:textFill>
        </w:rPr>
        <w:t>面向技术人员及运维开发人员的培训，目标是让相关技术人员能够掌握系统的设计思想、源码、系统架构、</w:t>
      </w:r>
      <w:r>
        <w:rPr>
          <w:rFonts w:hint="eastAsia" w:ascii="仿宋" w:hAnsi="仿宋"/>
          <w:iCs/>
          <w:color w:val="000000" w:themeColor="text1"/>
          <w:lang w:val="en-US" w:eastAsia="zh-CN"/>
          <w14:textFill>
            <w14:solidFill>
              <w14:schemeClr w14:val="tx1"/>
            </w14:solidFill>
          </w14:textFill>
        </w:rPr>
        <w:t>相关路径</w:t>
      </w:r>
      <w:r>
        <w:rPr>
          <w:rFonts w:ascii="仿宋" w:hAnsi="仿宋"/>
          <w:iCs/>
          <w:color w:val="000000" w:themeColor="text1"/>
          <w14:textFill>
            <w14:solidFill>
              <w14:schemeClr w14:val="tx1"/>
            </w14:solidFill>
          </w14:textFill>
        </w:rPr>
        <w:t>，具备独立的</w:t>
      </w:r>
      <w:r>
        <w:rPr>
          <w:rFonts w:hint="eastAsia" w:ascii="仿宋" w:hAnsi="仿宋"/>
          <w:iCs/>
          <w:color w:val="000000" w:themeColor="text1"/>
          <w:lang w:val="en-US" w:eastAsia="zh-CN"/>
          <w14:textFill>
            <w14:solidFill>
              <w14:schemeClr w14:val="tx1"/>
            </w14:solidFill>
          </w14:textFill>
        </w:rPr>
        <w:t>流程</w:t>
      </w:r>
      <w:r>
        <w:rPr>
          <w:rFonts w:ascii="仿宋" w:hAnsi="仿宋"/>
          <w:iCs/>
          <w:color w:val="000000" w:themeColor="text1"/>
          <w14:textFill>
            <w14:solidFill>
              <w14:schemeClr w14:val="tx1"/>
            </w14:solidFill>
          </w14:textFill>
        </w:rPr>
        <w:t>设计、</w:t>
      </w:r>
      <w:r>
        <w:rPr>
          <w:rFonts w:hint="eastAsia" w:ascii="仿宋" w:hAnsi="仿宋"/>
          <w:iCs/>
          <w:color w:val="000000" w:themeColor="text1"/>
          <w:lang w:val="en-US" w:eastAsia="zh-CN"/>
          <w14:textFill>
            <w14:solidFill>
              <w14:schemeClr w14:val="tx1"/>
            </w14:solidFill>
          </w14:textFill>
        </w:rPr>
        <w:t>流程运维</w:t>
      </w:r>
      <w:r>
        <w:rPr>
          <w:rFonts w:ascii="仿宋" w:hAnsi="仿宋"/>
          <w:iCs/>
          <w:color w:val="000000" w:themeColor="text1"/>
          <w14:textFill>
            <w14:solidFill>
              <w14:schemeClr w14:val="tx1"/>
            </w14:solidFill>
          </w14:textFill>
        </w:rPr>
        <w:t>能力。</w:t>
      </w:r>
    </w:p>
    <w:p>
      <w:pPr>
        <w:numPr>
          <w:ilvl w:val="0"/>
          <w:numId w:val="6"/>
        </w:numPr>
        <w:spacing w:before="0" w:after="0"/>
        <w:ind w:left="1322" w:firstLineChars="0"/>
        <w:rPr>
          <w:rFonts w:hint="default"/>
        </w:rPr>
      </w:pPr>
      <w:r>
        <w:t>对甲方业务人员进行培训，</w:t>
      </w:r>
      <w:r>
        <w:rPr>
          <w:rFonts w:ascii="仿宋" w:hAnsi="仿宋" w:cs="PMingLiU"/>
          <w:color w:val="000000"/>
          <w:kern w:val="0"/>
        </w:rPr>
        <w:t>目标是使平台用户快速熟悉系统的功能特点，熟练掌握相关的功能操作及使用流程</w:t>
      </w:r>
      <w:r>
        <w:t>；</w:t>
      </w:r>
    </w:p>
    <w:p>
      <w:pPr>
        <w:numPr>
          <w:ilvl w:val="0"/>
          <w:numId w:val="6"/>
        </w:numPr>
        <w:spacing w:before="0" w:after="0"/>
        <w:ind w:left="1322" w:firstLineChars="0"/>
        <w:rPr>
          <w:rFonts w:hint="default"/>
        </w:rPr>
      </w:pPr>
      <w:r>
        <w:t>提供用户手册；</w:t>
      </w:r>
    </w:p>
    <w:p>
      <w:pPr>
        <w:pStyle w:val="5"/>
        <w:spacing w:before="0" w:after="0" w:line="360" w:lineRule="auto"/>
        <w:rPr>
          <w:rFonts w:ascii="宋体" w:hAnsi="宋体"/>
        </w:rPr>
      </w:pPr>
      <w:bookmarkStart w:id="188" w:name="_Toc20608"/>
      <w:bookmarkStart w:id="189" w:name="_Toc2810"/>
      <w:bookmarkStart w:id="190" w:name="_Toc10896"/>
      <w:bookmarkStart w:id="191" w:name="_Toc29901"/>
      <w:bookmarkStart w:id="192" w:name="_Toc147222365"/>
      <w:r>
        <w:rPr>
          <w:rFonts w:hint="eastAsia" w:ascii="宋体" w:hAnsi="宋体"/>
        </w:rPr>
        <w:t>其他增值服务</w:t>
      </w:r>
      <w:bookmarkEnd w:id="188"/>
      <w:bookmarkEnd w:id="189"/>
      <w:bookmarkEnd w:id="190"/>
      <w:bookmarkEnd w:id="191"/>
      <w:bookmarkEnd w:id="192"/>
    </w:p>
    <w:p>
      <w:pPr>
        <w:numPr>
          <w:ilvl w:val="0"/>
          <w:numId w:val="6"/>
        </w:numPr>
        <w:spacing w:before="0" w:after="0"/>
        <w:ind w:left="1322" w:firstLineChars="0"/>
        <w:rPr>
          <w:rFonts w:hint="default"/>
        </w:rPr>
      </w:pPr>
      <w:r>
        <w:t>根据甲方具体需求，实施网络安全防护水平提升等增值服务。具体服务项包括且不限于以下。</w:t>
      </w:r>
    </w:p>
    <w:p>
      <w:pPr>
        <w:numPr>
          <w:ilvl w:val="0"/>
          <w:numId w:val="6"/>
        </w:numPr>
        <w:spacing w:before="0" w:after="0"/>
        <w:ind w:left="1322" w:firstLineChars="0"/>
        <w:rPr>
          <w:rFonts w:hint="default"/>
        </w:rPr>
      </w:pPr>
      <w:r>
        <w:t>1.安全保障：</w:t>
      </w:r>
    </w:p>
    <w:p>
      <w:pPr>
        <w:spacing w:before="0" w:after="0"/>
        <w:ind w:left="908" w:firstLine="414" w:firstLineChars="0"/>
        <w:rPr>
          <w:rFonts w:hint="default"/>
        </w:rPr>
      </w:pPr>
      <w:r>
        <w:t>1）安全加固及版本升级。</w:t>
      </w:r>
    </w:p>
    <w:p>
      <w:pPr>
        <w:spacing w:before="0" w:after="0"/>
        <w:ind w:left="908" w:firstLine="414" w:firstLineChars="0"/>
        <w:rPr>
          <w:rFonts w:hint="default"/>
        </w:rPr>
      </w:pPr>
      <w:r>
        <w:t>2）情报分享，提供支持按照时间线或行业（如保险）的威胁情报。</w:t>
      </w:r>
    </w:p>
    <w:p>
      <w:pPr>
        <w:spacing w:before="0" w:after="0"/>
        <w:ind w:left="908" w:firstLine="414" w:firstLineChars="0"/>
        <w:rPr>
          <w:rFonts w:hint="default"/>
        </w:rPr>
      </w:pPr>
      <w:r>
        <w:t>3）工具检测规则和策略更新，保证工具始终第一时间使用最新的风险检测规则和策略，给出运营优化建议。</w:t>
      </w:r>
    </w:p>
    <w:p>
      <w:pPr>
        <w:numPr>
          <w:ilvl w:val="0"/>
          <w:numId w:val="6"/>
        </w:numPr>
        <w:spacing w:before="0" w:after="0"/>
        <w:ind w:left="1322" w:firstLineChars="0"/>
        <w:rPr>
          <w:rFonts w:hint="default"/>
        </w:rPr>
      </w:pPr>
      <w:r>
        <w:t xml:space="preserve">2.运行保障： </w:t>
      </w:r>
    </w:p>
    <w:p>
      <w:pPr>
        <w:spacing w:before="0" w:after="0"/>
        <w:ind w:left="908" w:firstLine="414" w:firstLineChars="0"/>
        <w:rPr>
          <w:rFonts w:hint="default"/>
        </w:rPr>
      </w:pPr>
      <w:r>
        <w:t>1）环境搭建、系统迁移、重大变更等支持服务。</w:t>
      </w:r>
    </w:p>
    <w:p>
      <w:pPr>
        <w:spacing w:before="0" w:after="0"/>
        <w:ind w:left="908" w:firstLine="414" w:firstLineChars="0"/>
        <w:rPr>
          <w:rFonts w:hint="default"/>
        </w:rPr>
      </w:pPr>
      <w:r>
        <w:t>2）备份恢复策略制定及测试，每年至少1次备份策略更新及测试。</w:t>
      </w:r>
    </w:p>
    <w:p>
      <w:pPr>
        <w:spacing w:before="0" w:after="0"/>
        <w:ind w:left="908" w:firstLine="414" w:firstLineChars="0"/>
        <w:rPr>
          <w:rFonts w:hint="default"/>
        </w:rPr>
      </w:pPr>
      <w:r>
        <w:t>3）监测运行数据分析，问题发现及定位解决闭环追踪。</w:t>
      </w:r>
    </w:p>
    <w:bookmarkEnd w:id="171"/>
    <w:bookmarkEnd w:id="172"/>
    <w:bookmarkEnd w:id="173"/>
    <w:bookmarkEnd w:id="174"/>
    <w:bookmarkEnd w:id="175"/>
    <w:bookmarkEnd w:id="176"/>
    <w:bookmarkEnd w:id="177"/>
    <w:p>
      <w:pPr>
        <w:pStyle w:val="4"/>
        <w:tabs>
          <w:tab w:val="left" w:pos="1534"/>
        </w:tabs>
        <w:spacing w:after="240" w:line="360" w:lineRule="auto"/>
        <w:ind w:left="0"/>
        <w:rPr>
          <w:rFonts w:hint="default"/>
        </w:rPr>
      </w:pPr>
      <w:bookmarkStart w:id="193" w:name="_Toc10435"/>
      <w:bookmarkStart w:id="194" w:name="_Toc111108469"/>
      <w:bookmarkStart w:id="195" w:name="_Toc15211"/>
      <w:bookmarkStart w:id="196" w:name="_Toc147222366"/>
      <w:bookmarkStart w:id="197" w:name="_Toc17742"/>
      <w:bookmarkStart w:id="198" w:name="_Toc92187041"/>
      <w:bookmarkStart w:id="199" w:name="_Toc11558"/>
      <w:r>
        <w:t>项目管理</w:t>
      </w:r>
      <w:bookmarkEnd w:id="193"/>
      <w:bookmarkEnd w:id="194"/>
      <w:bookmarkEnd w:id="195"/>
      <w:bookmarkEnd w:id="196"/>
      <w:bookmarkEnd w:id="197"/>
      <w:bookmarkEnd w:id="198"/>
      <w:bookmarkEnd w:id="199"/>
    </w:p>
    <w:p>
      <w:pPr>
        <w:pStyle w:val="5"/>
        <w:spacing w:before="0" w:after="0" w:line="360" w:lineRule="auto"/>
        <w:rPr>
          <w:rFonts w:ascii="宋体" w:hAnsi="宋体"/>
        </w:rPr>
      </w:pPr>
      <w:bookmarkStart w:id="200" w:name="_Toc92187042"/>
      <w:bookmarkStart w:id="201" w:name="_Toc111108470"/>
      <w:bookmarkStart w:id="202" w:name="_Toc556"/>
      <w:bookmarkStart w:id="203" w:name="_Toc6998"/>
      <w:bookmarkStart w:id="204" w:name="_Toc1212"/>
      <w:bookmarkStart w:id="205" w:name="_Toc22002"/>
      <w:bookmarkStart w:id="206" w:name="_Toc147222367"/>
      <w:r>
        <w:rPr>
          <w:rFonts w:hint="eastAsia" w:ascii="宋体" w:hAnsi="宋体"/>
        </w:rPr>
        <w:t>项目管理方法论</w:t>
      </w:r>
      <w:bookmarkEnd w:id="200"/>
      <w:bookmarkEnd w:id="201"/>
      <w:bookmarkEnd w:id="202"/>
      <w:bookmarkEnd w:id="203"/>
      <w:bookmarkEnd w:id="204"/>
      <w:bookmarkEnd w:id="205"/>
      <w:bookmarkEnd w:id="206"/>
    </w:p>
    <w:p>
      <w:pPr>
        <w:pStyle w:val="31"/>
        <w:spacing w:before="0" w:after="0"/>
        <w:ind w:firstLine="480"/>
        <w:rPr>
          <w:rFonts w:hint="default" w:hAnsi="宋体"/>
        </w:rPr>
      </w:pPr>
      <w:r>
        <w:rPr>
          <w:rFonts w:hAnsi="宋体"/>
        </w:rPr>
        <w:t>乙方须依据自身的项目管理方法论，结合国寿海外项目实际情况，提出合理优化的适应本项目的项目管理方法论，并在项目实施过程中,包括项目启动、执行与控制、收尾等阶段贯彻执行。</w:t>
      </w:r>
    </w:p>
    <w:p>
      <w:pPr>
        <w:pStyle w:val="5"/>
        <w:spacing w:line="360" w:lineRule="auto"/>
      </w:pPr>
      <w:bookmarkStart w:id="207" w:name="_Toc147222368"/>
      <w:bookmarkStart w:id="208" w:name="_Toc11988"/>
      <w:bookmarkStart w:id="209" w:name="_Toc24651"/>
      <w:bookmarkStart w:id="210" w:name="_Toc111108471"/>
      <w:bookmarkStart w:id="211" w:name="_Toc24025"/>
      <w:bookmarkStart w:id="212" w:name="_Toc6865"/>
      <w:r>
        <w:rPr>
          <w:rFonts w:hint="eastAsia"/>
        </w:rPr>
        <w:t>项目实施组织</w:t>
      </w:r>
      <w:bookmarkEnd w:id="207"/>
      <w:bookmarkEnd w:id="208"/>
      <w:bookmarkEnd w:id="209"/>
      <w:bookmarkEnd w:id="210"/>
      <w:bookmarkEnd w:id="211"/>
      <w:bookmarkEnd w:id="212"/>
    </w:p>
    <w:p>
      <w:pPr>
        <w:pStyle w:val="31"/>
        <w:spacing w:before="0" w:after="0"/>
        <w:ind w:firstLine="480"/>
        <w:rPr>
          <w:rFonts w:hint="default" w:hAnsi="宋体"/>
        </w:rPr>
      </w:pPr>
      <w:r>
        <w:rPr>
          <w:rFonts w:hAnsi="宋体"/>
        </w:rPr>
        <w:t>为</w:t>
      </w:r>
      <w:r>
        <w:rPr>
          <w:rFonts w:hint="eastAsia" w:hAnsi="宋体"/>
          <w:lang w:val="en-US" w:eastAsia="zh-CN"/>
        </w:rPr>
        <w:t>保障RPA业务流程维护及改造项目</w:t>
      </w:r>
      <w:r>
        <w:rPr>
          <w:rFonts w:hAnsi="宋体"/>
        </w:rPr>
        <w:t>的顺利开展，乙方须根据甲方实际需求，派驻人员到甲方现场或远程提供服务支持。到甲方现场进行项目实施，则在现场期间须遵守甲方的工作纪律和要求。同时，甲方根据项目实施需要，组织相关人员参加此项目，与乙方人员紧密结合成项目实施小组。</w:t>
      </w:r>
    </w:p>
    <w:p>
      <w:pPr>
        <w:pStyle w:val="31"/>
        <w:spacing w:before="0" w:after="0"/>
        <w:ind w:firstLine="480"/>
        <w:rPr>
          <w:rFonts w:hint="default" w:hAnsi="宋体"/>
        </w:rPr>
      </w:pPr>
      <w:r>
        <w:rPr>
          <w:rFonts w:hAnsi="宋体"/>
        </w:rPr>
        <w:t>乙方应提出详细的实施组织建议。项目实施组织的具体形式、人员组成及分工由双方在项目启动阶段根据项目实施需要协商决定，并报甲方批准执行。在具体项目实施各阶段，可根据需要，提出项目实施组织或/和人员组成变更申请，经甲方批准执行。</w:t>
      </w:r>
    </w:p>
    <w:p>
      <w:pPr>
        <w:pStyle w:val="5"/>
        <w:spacing w:before="0" w:after="0" w:line="360" w:lineRule="auto"/>
        <w:rPr>
          <w:rFonts w:ascii="宋体" w:hAnsi="宋体"/>
        </w:rPr>
      </w:pPr>
      <w:bookmarkStart w:id="213" w:name="_Toc320267889"/>
      <w:bookmarkEnd w:id="213"/>
      <w:bookmarkStart w:id="214" w:name="_Toc320267584"/>
      <w:bookmarkEnd w:id="214"/>
      <w:bookmarkStart w:id="215" w:name="_Toc320267899"/>
      <w:bookmarkEnd w:id="215"/>
      <w:bookmarkStart w:id="216" w:name="_Toc320265319"/>
      <w:bookmarkEnd w:id="216"/>
      <w:bookmarkStart w:id="217" w:name="_Toc320264053"/>
      <w:bookmarkEnd w:id="217"/>
      <w:bookmarkStart w:id="218" w:name="_Toc320267898"/>
      <w:bookmarkEnd w:id="218"/>
      <w:bookmarkStart w:id="219" w:name="_Toc320265618"/>
      <w:bookmarkEnd w:id="219"/>
      <w:bookmarkStart w:id="220" w:name="_Toc320265473"/>
      <w:bookmarkEnd w:id="220"/>
      <w:bookmarkStart w:id="221" w:name="_Toc320265470"/>
      <w:bookmarkEnd w:id="221"/>
      <w:bookmarkStart w:id="222" w:name="_Toc320267422"/>
      <w:bookmarkEnd w:id="222"/>
      <w:bookmarkStart w:id="223" w:name="_Toc320267730"/>
      <w:bookmarkEnd w:id="223"/>
      <w:bookmarkStart w:id="224" w:name="_Toc320265318"/>
      <w:bookmarkEnd w:id="224"/>
      <w:bookmarkStart w:id="225" w:name="_Toc320268058"/>
      <w:bookmarkEnd w:id="225"/>
      <w:bookmarkStart w:id="226" w:name="_Toc320268045"/>
      <w:bookmarkEnd w:id="226"/>
      <w:bookmarkStart w:id="227" w:name="_Toc320268214"/>
      <w:bookmarkEnd w:id="227"/>
      <w:bookmarkStart w:id="228" w:name="_Toc320265324"/>
      <w:bookmarkEnd w:id="228"/>
      <w:bookmarkStart w:id="229" w:name="_Toc320267581"/>
      <w:bookmarkEnd w:id="229"/>
      <w:bookmarkStart w:id="230" w:name="_Toc320268199"/>
      <w:bookmarkEnd w:id="230"/>
      <w:bookmarkStart w:id="231" w:name="_Toc320265467"/>
      <w:bookmarkEnd w:id="231"/>
      <w:bookmarkStart w:id="232" w:name="_Toc320265626"/>
      <w:bookmarkEnd w:id="232"/>
      <w:bookmarkStart w:id="233" w:name="_Toc320264061"/>
      <w:bookmarkEnd w:id="233"/>
      <w:bookmarkStart w:id="234" w:name="_Toc320268211"/>
      <w:bookmarkEnd w:id="234"/>
      <w:bookmarkStart w:id="235" w:name="_Toc320265468"/>
      <w:bookmarkEnd w:id="235"/>
      <w:bookmarkStart w:id="236" w:name="_Toc320268049"/>
      <w:bookmarkEnd w:id="236"/>
      <w:bookmarkStart w:id="237" w:name="_Toc320268051"/>
      <w:bookmarkEnd w:id="237"/>
      <w:bookmarkStart w:id="238" w:name="_Toc320265476"/>
      <w:bookmarkEnd w:id="238"/>
      <w:bookmarkStart w:id="239" w:name="_Toc320265310"/>
      <w:bookmarkEnd w:id="239"/>
      <w:bookmarkStart w:id="240" w:name="_Toc320265323"/>
      <w:bookmarkEnd w:id="240"/>
      <w:bookmarkStart w:id="241" w:name="_Toc320265466"/>
      <w:bookmarkEnd w:id="241"/>
      <w:bookmarkStart w:id="242" w:name="_Toc320267742"/>
      <w:bookmarkEnd w:id="242"/>
      <w:bookmarkStart w:id="243" w:name="_Toc320267894"/>
      <w:bookmarkEnd w:id="243"/>
      <w:bookmarkStart w:id="244" w:name="_Toc320267569"/>
      <w:bookmarkEnd w:id="244"/>
      <w:bookmarkStart w:id="245" w:name="_Toc320268054"/>
      <w:bookmarkEnd w:id="245"/>
      <w:bookmarkStart w:id="246" w:name="_Toc320265314"/>
      <w:bookmarkEnd w:id="246"/>
      <w:bookmarkStart w:id="247" w:name="_Toc320267582"/>
      <w:bookmarkEnd w:id="247"/>
      <w:bookmarkStart w:id="248" w:name="_Toc320265614"/>
      <w:bookmarkEnd w:id="248"/>
      <w:bookmarkStart w:id="249" w:name="_Toc320268053"/>
      <w:bookmarkEnd w:id="249"/>
      <w:bookmarkStart w:id="250" w:name="_Toc320264052"/>
      <w:bookmarkEnd w:id="250"/>
      <w:bookmarkStart w:id="251" w:name="_Toc320268208"/>
      <w:bookmarkEnd w:id="251"/>
      <w:bookmarkStart w:id="252" w:name="_Toc320265472"/>
      <w:bookmarkEnd w:id="252"/>
      <w:bookmarkStart w:id="253" w:name="_Toc320265479"/>
      <w:bookmarkEnd w:id="253"/>
      <w:bookmarkStart w:id="254" w:name="_Toc320267574"/>
      <w:bookmarkEnd w:id="254"/>
      <w:bookmarkStart w:id="255" w:name="_Toc320265471"/>
      <w:bookmarkEnd w:id="255"/>
      <w:bookmarkStart w:id="256" w:name="_Toc320264065"/>
      <w:bookmarkEnd w:id="256"/>
      <w:bookmarkStart w:id="257" w:name="_Toc320267736"/>
      <w:bookmarkEnd w:id="257"/>
      <w:bookmarkStart w:id="258" w:name="_Toc320264069"/>
      <w:bookmarkEnd w:id="258"/>
      <w:bookmarkStart w:id="259" w:name="_Toc320264068"/>
      <w:bookmarkEnd w:id="259"/>
      <w:bookmarkStart w:id="260" w:name="_Toc320267420"/>
      <w:bookmarkEnd w:id="260"/>
      <w:bookmarkStart w:id="261" w:name="_Toc320267572"/>
      <w:bookmarkEnd w:id="261"/>
      <w:bookmarkStart w:id="262" w:name="_Toc320268204"/>
      <w:bookmarkEnd w:id="262"/>
      <w:bookmarkStart w:id="263" w:name="_Toc320267732"/>
      <w:bookmarkEnd w:id="263"/>
      <w:bookmarkStart w:id="264" w:name="_Toc320268056"/>
      <w:bookmarkEnd w:id="264"/>
      <w:bookmarkStart w:id="265" w:name="_Toc320268197"/>
      <w:bookmarkEnd w:id="265"/>
      <w:bookmarkStart w:id="266" w:name="_Toc320264060"/>
      <w:bookmarkEnd w:id="266"/>
      <w:bookmarkStart w:id="267" w:name="_Toc320267415"/>
      <w:bookmarkEnd w:id="267"/>
      <w:bookmarkStart w:id="268" w:name="_Toc320265320"/>
      <w:bookmarkEnd w:id="268"/>
      <w:bookmarkStart w:id="269" w:name="_Toc320267425"/>
      <w:bookmarkEnd w:id="269"/>
      <w:bookmarkStart w:id="270" w:name="_Toc320267416"/>
      <w:bookmarkEnd w:id="270"/>
      <w:bookmarkStart w:id="271" w:name="_Toc320265327"/>
      <w:bookmarkEnd w:id="271"/>
      <w:bookmarkStart w:id="272" w:name="_Toc320267892"/>
      <w:bookmarkEnd w:id="272"/>
      <w:bookmarkStart w:id="273" w:name="_Toc320267585"/>
      <w:bookmarkEnd w:id="273"/>
      <w:bookmarkStart w:id="274" w:name="_Toc320265631"/>
      <w:bookmarkEnd w:id="274"/>
      <w:bookmarkStart w:id="275" w:name="_Toc320267743"/>
      <w:bookmarkEnd w:id="275"/>
      <w:bookmarkStart w:id="276" w:name="_Toc320268210"/>
      <w:bookmarkEnd w:id="276"/>
      <w:bookmarkStart w:id="277" w:name="_Toc320267738"/>
      <w:bookmarkEnd w:id="277"/>
      <w:bookmarkStart w:id="278" w:name="_Toc320267886"/>
      <w:bookmarkEnd w:id="278"/>
      <w:bookmarkStart w:id="279" w:name="_Toc320264066"/>
      <w:bookmarkEnd w:id="279"/>
      <w:bookmarkStart w:id="280" w:name="_Toc320268048"/>
      <w:bookmarkEnd w:id="280"/>
      <w:bookmarkStart w:id="281" w:name="_Toc320267414"/>
      <w:bookmarkEnd w:id="281"/>
      <w:bookmarkStart w:id="282" w:name="_Toc320267884"/>
      <w:bookmarkEnd w:id="282"/>
      <w:bookmarkStart w:id="283" w:name="_Toc320267741"/>
      <w:bookmarkEnd w:id="283"/>
      <w:bookmarkStart w:id="284" w:name="_Toc320268209"/>
      <w:bookmarkEnd w:id="284"/>
      <w:bookmarkStart w:id="285" w:name="_Toc320268050"/>
      <w:bookmarkEnd w:id="285"/>
      <w:bookmarkStart w:id="286" w:name="_Toc320264058"/>
      <w:bookmarkEnd w:id="286"/>
      <w:bookmarkStart w:id="287" w:name="_Toc320264056"/>
      <w:bookmarkEnd w:id="287"/>
      <w:bookmarkStart w:id="288" w:name="_Toc320267739"/>
      <w:bookmarkEnd w:id="288"/>
      <w:bookmarkStart w:id="289" w:name="_Toc320267412"/>
      <w:bookmarkEnd w:id="289"/>
      <w:bookmarkStart w:id="290" w:name="_Toc320268212"/>
      <w:bookmarkEnd w:id="290"/>
      <w:bookmarkStart w:id="291" w:name="_Toc320267580"/>
      <w:bookmarkEnd w:id="291"/>
      <w:bookmarkStart w:id="292" w:name="_Toc320265480"/>
      <w:bookmarkEnd w:id="292"/>
      <w:bookmarkStart w:id="293" w:name="_Toc320265321"/>
      <w:bookmarkEnd w:id="293"/>
      <w:bookmarkStart w:id="294" w:name="_Toc320267883"/>
      <w:bookmarkEnd w:id="294"/>
      <w:bookmarkStart w:id="295" w:name="_Toc320268052"/>
      <w:bookmarkEnd w:id="295"/>
      <w:bookmarkStart w:id="296" w:name="_Toc320267429"/>
      <w:bookmarkEnd w:id="296"/>
      <w:bookmarkStart w:id="297" w:name="_Toc320267897"/>
      <w:bookmarkEnd w:id="297"/>
      <w:bookmarkStart w:id="298" w:name="_Toc320267583"/>
      <w:bookmarkEnd w:id="298"/>
      <w:bookmarkStart w:id="299" w:name="_Toc320265625"/>
      <w:bookmarkEnd w:id="299"/>
      <w:bookmarkStart w:id="300" w:name="_Toc320264055"/>
      <w:bookmarkEnd w:id="300"/>
      <w:bookmarkStart w:id="301" w:name="_Toc320267734"/>
      <w:bookmarkEnd w:id="301"/>
      <w:bookmarkStart w:id="302" w:name="_Toc320267895"/>
      <w:bookmarkEnd w:id="302"/>
      <w:bookmarkStart w:id="303" w:name="_Toc320267421"/>
      <w:bookmarkEnd w:id="303"/>
      <w:bookmarkStart w:id="304" w:name="_Toc320267423"/>
      <w:bookmarkEnd w:id="304"/>
      <w:bookmarkStart w:id="305" w:name="_Toc320265315"/>
      <w:bookmarkEnd w:id="305"/>
      <w:bookmarkStart w:id="306" w:name="_Toc320268200"/>
      <w:bookmarkEnd w:id="306"/>
      <w:bookmarkStart w:id="307" w:name="_Toc320265628"/>
      <w:bookmarkEnd w:id="307"/>
      <w:bookmarkStart w:id="308" w:name="_Toc320268196"/>
      <w:bookmarkEnd w:id="308"/>
      <w:bookmarkStart w:id="309" w:name="_Toc320267427"/>
      <w:bookmarkEnd w:id="309"/>
      <w:bookmarkStart w:id="310" w:name="_Toc320268041"/>
      <w:bookmarkEnd w:id="310"/>
      <w:bookmarkStart w:id="311" w:name="_Toc320267735"/>
      <w:bookmarkEnd w:id="311"/>
      <w:bookmarkStart w:id="312" w:name="_Toc320267578"/>
      <w:bookmarkEnd w:id="312"/>
      <w:bookmarkStart w:id="313" w:name="_Toc320267729"/>
      <w:bookmarkEnd w:id="313"/>
      <w:bookmarkStart w:id="314" w:name="_Toc320267888"/>
      <w:bookmarkEnd w:id="314"/>
      <w:bookmarkStart w:id="315" w:name="_Toc320267901"/>
      <w:bookmarkEnd w:id="315"/>
      <w:bookmarkStart w:id="316" w:name="_Toc320264070"/>
      <w:bookmarkEnd w:id="316"/>
      <w:bookmarkStart w:id="317" w:name="_Toc320267890"/>
      <w:bookmarkEnd w:id="317"/>
      <w:bookmarkStart w:id="318" w:name="_Toc320264063"/>
      <w:bookmarkEnd w:id="318"/>
      <w:bookmarkStart w:id="319" w:name="_Toc320268207"/>
      <w:bookmarkEnd w:id="319"/>
      <w:bookmarkStart w:id="320" w:name="_Toc320267733"/>
      <w:bookmarkEnd w:id="320"/>
      <w:bookmarkStart w:id="321" w:name="_Toc320267577"/>
      <w:bookmarkEnd w:id="321"/>
      <w:bookmarkStart w:id="322" w:name="_Toc320267568"/>
      <w:bookmarkEnd w:id="322"/>
      <w:bookmarkStart w:id="323" w:name="_Toc320267575"/>
      <w:bookmarkEnd w:id="323"/>
      <w:bookmarkStart w:id="324" w:name="_Toc320268202"/>
      <w:bookmarkEnd w:id="324"/>
      <w:bookmarkStart w:id="325" w:name="_Toc320267571"/>
      <w:bookmarkEnd w:id="325"/>
      <w:bookmarkStart w:id="326" w:name="_Toc320265326"/>
      <w:bookmarkEnd w:id="326"/>
      <w:bookmarkStart w:id="327" w:name="_Toc320268057"/>
      <w:bookmarkEnd w:id="327"/>
      <w:bookmarkStart w:id="328" w:name="_Toc320267896"/>
      <w:bookmarkEnd w:id="328"/>
      <w:bookmarkStart w:id="329" w:name="_Toc320267731"/>
      <w:bookmarkEnd w:id="329"/>
      <w:bookmarkStart w:id="330" w:name="_Toc320265621"/>
      <w:bookmarkEnd w:id="330"/>
      <w:bookmarkStart w:id="331" w:name="_Toc320265629"/>
      <w:bookmarkEnd w:id="331"/>
      <w:bookmarkStart w:id="332" w:name="_Toc320265623"/>
      <w:bookmarkEnd w:id="332"/>
      <w:bookmarkStart w:id="333" w:name="_Toc320267417"/>
      <w:bookmarkEnd w:id="333"/>
      <w:bookmarkStart w:id="334" w:name="_Toc320265474"/>
      <w:bookmarkEnd w:id="334"/>
      <w:bookmarkStart w:id="335" w:name="_Toc320265325"/>
      <w:bookmarkEnd w:id="335"/>
      <w:bookmarkStart w:id="336" w:name="_Toc320268044"/>
      <w:bookmarkEnd w:id="336"/>
      <w:bookmarkStart w:id="337" w:name="_Toc320265462"/>
      <w:bookmarkEnd w:id="337"/>
      <w:bookmarkStart w:id="338" w:name="_Toc320268205"/>
      <w:bookmarkEnd w:id="338"/>
      <w:bookmarkStart w:id="339" w:name="_Toc320265616"/>
      <w:bookmarkEnd w:id="339"/>
      <w:bookmarkStart w:id="340" w:name="_Toc320267419"/>
      <w:bookmarkEnd w:id="340"/>
      <w:bookmarkStart w:id="341" w:name="_Toc320267887"/>
      <w:bookmarkEnd w:id="341"/>
      <w:bookmarkStart w:id="342" w:name="_Toc320265619"/>
      <w:bookmarkEnd w:id="342"/>
      <w:bookmarkStart w:id="343" w:name="_Toc320267426"/>
      <w:bookmarkEnd w:id="343"/>
      <w:bookmarkStart w:id="344" w:name="_Toc320264067"/>
      <w:bookmarkEnd w:id="344"/>
      <w:bookmarkStart w:id="345" w:name="_Toc320268203"/>
      <w:bookmarkEnd w:id="345"/>
      <w:bookmarkStart w:id="346" w:name="_Toc320268046"/>
      <w:bookmarkEnd w:id="346"/>
      <w:bookmarkStart w:id="347" w:name="_Toc320267428"/>
      <w:bookmarkEnd w:id="347"/>
      <w:bookmarkStart w:id="348" w:name="_Toc320264064"/>
      <w:bookmarkEnd w:id="348"/>
      <w:bookmarkStart w:id="349" w:name="_Toc320265478"/>
      <w:bookmarkEnd w:id="349"/>
      <w:bookmarkStart w:id="350" w:name="_Toc320268047"/>
      <w:bookmarkEnd w:id="350"/>
      <w:bookmarkStart w:id="351" w:name="_Toc320267900"/>
      <w:bookmarkEnd w:id="351"/>
      <w:bookmarkStart w:id="352" w:name="_Toc320268043"/>
      <w:bookmarkEnd w:id="352"/>
      <w:bookmarkStart w:id="353" w:name="_Toc320267411"/>
      <w:bookmarkEnd w:id="353"/>
      <w:bookmarkStart w:id="354" w:name="_Toc320265620"/>
      <w:bookmarkEnd w:id="354"/>
      <w:bookmarkStart w:id="355" w:name="_Toc320264062"/>
      <w:bookmarkEnd w:id="355"/>
      <w:bookmarkStart w:id="356" w:name="_Toc320265627"/>
      <w:bookmarkEnd w:id="356"/>
      <w:bookmarkStart w:id="357" w:name="_Toc320265475"/>
      <w:bookmarkEnd w:id="357"/>
      <w:bookmarkStart w:id="358" w:name="_Toc320267740"/>
      <w:bookmarkEnd w:id="358"/>
      <w:bookmarkStart w:id="359" w:name="_Toc320265317"/>
      <w:bookmarkEnd w:id="359"/>
      <w:bookmarkStart w:id="360" w:name="_Toc320267579"/>
      <w:bookmarkEnd w:id="360"/>
      <w:bookmarkStart w:id="361" w:name="_Toc320267424"/>
      <w:bookmarkEnd w:id="361"/>
      <w:bookmarkStart w:id="362" w:name="_Toc320265312"/>
      <w:bookmarkEnd w:id="362"/>
      <w:bookmarkStart w:id="363" w:name="_Toc320268055"/>
      <w:bookmarkEnd w:id="363"/>
      <w:bookmarkStart w:id="364" w:name="_Toc320265309"/>
      <w:bookmarkEnd w:id="364"/>
      <w:bookmarkStart w:id="365" w:name="_Toc320265630"/>
      <w:bookmarkEnd w:id="365"/>
      <w:bookmarkStart w:id="366" w:name="_Toc320265322"/>
      <w:bookmarkEnd w:id="366"/>
      <w:bookmarkStart w:id="367" w:name="_Toc320265622"/>
      <w:bookmarkEnd w:id="367"/>
      <w:bookmarkStart w:id="368" w:name="_Toc320267586"/>
      <w:bookmarkEnd w:id="368"/>
      <w:bookmarkStart w:id="369" w:name="_Toc320265469"/>
      <w:bookmarkEnd w:id="369"/>
      <w:bookmarkStart w:id="370" w:name="_Toc320267576"/>
      <w:bookmarkEnd w:id="370"/>
      <w:bookmarkStart w:id="371" w:name="_Toc320267893"/>
      <w:bookmarkEnd w:id="371"/>
      <w:bookmarkStart w:id="372" w:name="_Toc320267573"/>
      <w:bookmarkEnd w:id="372"/>
      <w:bookmarkStart w:id="373" w:name="_Toc320265613"/>
      <w:bookmarkEnd w:id="373"/>
      <w:bookmarkStart w:id="374" w:name="_Toc320267891"/>
      <w:bookmarkEnd w:id="374"/>
      <w:bookmarkStart w:id="375" w:name="_Toc320268201"/>
      <w:bookmarkEnd w:id="375"/>
      <w:bookmarkStart w:id="376" w:name="_Toc320267725"/>
      <w:bookmarkEnd w:id="376"/>
      <w:bookmarkStart w:id="377" w:name="_Toc320268213"/>
      <w:bookmarkEnd w:id="377"/>
      <w:bookmarkStart w:id="378" w:name="_Toc320265316"/>
      <w:bookmarkEnd w:id="378"/>
      <w:bookmarkStart w:id="379" w:name="_Toc320267737"/>
      <w:bookmarkEnd w:id="379"/>
      <w:bookmarkStart w:id="380" w:name="_Toc320267726"/>
      <w:bookmarkEnd w:id="380"/>
      <w:bookmarkStart w:id="381" w:name="_Toc320265465"/>
      <w:bookmarkEnd w:id="381"/>
      <w:bookmarkStart w:id="382" w:name="_Toc320265477"/>
      <w:bookmarkEnd w:id="382"/>
      <w:bookmarkStart w:id="383" w:name="_Toc320264057"/>
      <w:bookmarkEnd w:id="383"/>
      <w:bookmarkStart w:id="384" w:name="_Toc320267728"/>
      <w:bookmarkEnd w:id="384"/>
      <w:bookmarkStart w:id="385" w:name="_Toc320265617"/>
      <w:bookmarkEnd w:id="385"/>
      <w:bookmarkStart w:id="386" w:name="_Toc320267418"/>
      <w:bookmarkEnd w:id="386"/>
      <w:bookmarkStart w:id="387" w:name="_Toc320265463"/>
      <w:bookmarkEnd w:id="387"/>
      <w:bookmarkStart w:id="388" w:name="_Toc320268206"/>
      <w:bookmarkEnd w:id="388"/>
      <w:bookmarkStart w:id="389" w:name="_Toc320268040"/>
      <w:bookmarkEnd w:id="389"/>
      <w:bookmarkStart w:id="390" w:name="_Toc320264059"/>
      <w:bookmarkEnd w:id="390"/>
      <w:bookmarkStart w:id="391" w:name="_Toc320265313"/>
      <w:bookmarkEnd w:id="391"/>
      <w:bookmarkStart w:id="392" w:name="_Toc320265624"/>
      <w:bookmarkEnd w:id="392"/>
      <w:bookmarkStart w:id="393" w:name="_Toc92187043"/>
      <w:bookmarkStart w:id="394" w:name="_Toc147222369"/>
      <w:bookmarkStart w:id="395" w:name="_Toc23179"/>
      <w:bookmarkStart w:id="396" w:name="_Toc12343"/>
      <w:bookmarkStart w:id="397" w:name="_Toc21126"/>
      <w:bookmarkStart w:id="398" w:name="_Toc26084"/>
      <w:bookmarkStart w:id="399" w:name="_Toc111108472"/>
      <w:bookmarkStart w:id="400" w:name="_Toc262049818"/>
      <w:bookmarkStart w:id="401" w:name="_Toc316824984"/>
      <w:bookmarkStart w:id="402" w:name="_Toc316825163"/>
      <w:bookmarkStart w:id="403" w:name="_Toc316824410"/>
      <w:r>
        <w:rPr>
          <w:rFonts w:hint="eastAsia" w:ascii="宋体" w:hAnsi="宋体"/>
        </w:rPr>
        <w:t>项目</w:t>
      </w:r>
      <w:bookmarkEnd w:id="393"/>
      <w:r>
        <w:rPr>
          <w:rFonts w:hint="eastAsia" w:ascii="宋体" w:hAnsi="宋体"/>
        </w:rPr>
        <w:t>人员要求</w:t>
      </w:r>
      <w:bookmarkEnd w:id="394"/>
      <w:bookmarkEnd w:id="395"/>
      <w:bookmarkEnd w:id="396"/>
      <w:bookmarkEnd w:id="397"/>
      <w:bookmarkEnd w:id="398"/>
      <w:bookmarkEnd w:id="399"/>
    </w:p>
    <w:p>
      <w:pPr>
        <w:pStyle w:val="31"/>
        <w:spacing w:before="0" w:after="0"/>
        <w:ind w:firstLine="480"/>
        <w:rPr>
          <w:rFonts w:hint="default" w:hAnsi="宋体"/>
        </w:rPr>
      </w:pPr>
      <w:bookmarkStart w:id="404" w:name="_Toc92187044"/>
      <w:bookmarkStart w:id="405" w:name="_Toc111108473"/>
      <w:r>
        <w:rPr>
          <w:rFonts w:hAnsi="宋体"/>
        </w:rPr>
        <w:t>参加项目的中标单位及项目团队成员应分别同甲方签订保密协议，严格遵守有关法律法规内部规章制度，不得擅自翻阅、复制、传播所接触的资料或数据。</w:t>
      </w:r>
    </w:p>
    <w:p>
      <w:pPr>
        <w:pStyle w:val="5"/>
        <w:spacing w:before="0" w:after="0" w:line="360" w:lineRule="auto"/>
        <w:rPr>
          <w:rFonts w:ascii="宋体" w:hAnsi="宋体"/>
        </w:rPr>
      </w:pPr>
      <w:bookmarkStart w:id="406" w:name="_Toc24337"/>
      <w:bookmarkStart w:id="407" w:name="_Toc25855"/>
      <w:bookmarkStart w:id="408" w:name="_Toc147222370"/>
      <w:bookmarkStart w:id="409" w:name="_Toc32105"/>
      <w:bookmarkStart w:id="410" w:name="_Toc15358"/>
      <w:r>
        <w:rPr>
          <w:rFonts w:hint="eastAsia" w:ascii="宋体" w:hAnsi="宋体"/>
        </w:rPr>
        <w:t>项目实施计划</w:t>
      </w:r>
      <w:bookmarkEnd w:id="404"/>
      <w:bookmarkEnd w:id="405"/>
      <w:bookmarkEnd w:id="406"/>
      <w:bookmarkEnd w:id="407"/>
      <w:bookmarkEnd w:id="408"/>
      <w:bookmarkEnd w:id="409"/>
      <w:bookmarkEnd w:id="410"/>
    </w:p>
    <w:p>
      <w:pPr>
        <w:pStyle w:val="31"/>
        <w:spacing w:before="0" w:after="0"/>
        <w:ind w:firstLine="480"/>
        <w:rPr>
          <w:rFonts w:hint="default" w:hAnsi="宋体"/>
        </w:rPr>
      </w:pPr>
      <w:r>
        <w:rPr>
          <w:rFonts w:hAnsi="宋体"/>
        </w:rPr>
        <w:t>乙方必须根据招标人要求的时间点，结合招标人需求，制定并提供本项目的具体实施计划，实施计划需细化、对应到项目范围的每一项需求。</w:t>
      </w:r>
    </w:p>
    <w:p>
      <w:pPr>
        <w:pStyle w:val="31"/>
        <w:spacing w:before="0" w:after="0"/>
        <w:ind w:firstLine="480"/>
        <w:rPr>
          <w:rFonts w:hint="default" w:hAnsi="宋体"/>
        </w:rPr>
      </w:pPr>
      <w:r>
        <w:rPr>
          <w:rFonts w:hAnsi="宋体"/>
        </w:rPr>
        <w:t>在项目启动阶段，双方必须协商并决定最终实施计划，并经招标人批准后执行。</w:t>
      </w:r>
    </w:p>
    <w:p>
      <w:pPr>
        <w:pStyle w:val="5"/>
        <w:spacing w:before="0" w:after="0" w:line="360" w:lineRule="auto"/>
        <w:rPr>
          <w:rFonts w:ascii="宋体" w:hAnsi="宋体"/>
        </w:rPr>
      </w:pPr>
      <w:bookmarkStart w:id="411" w:name="_Toc13483"/>
      <w:bookmarkStart w:id="412" w:name="_Toc111108474"/>
      <w:bookmarkStart w:id="413" w:name="_Toc7239"/>
      <w:bookmarkStart w:id="414" w:name="_Toc147222371"/>
      <w:bookmarkStart w:id="415" w:name="_Toc10894"/>
      <w:bookmarkStart w:id="416" w:name="_Toc3259"/>
      <w:bookmarkStart w:id="417" w:name="_Toc25951"/>
      <w:bookmarkStart w:id="418" w:name="_Toc92187045"/>
      <w:r>
        <w:rPr>
          <w:rFonts w:hint="eastAsia" w:ascii="宋体" w:hAnsi="宋体"/>
        </w:rPr>
        <w:t>项目质量和安全管理</w:t>
      </w:r>
      <w:bookmarkEnd w:id="411"/>
      <w:bookmarkEnd w:id="412"/>
      <w:bookmarkEnd w:id="413"/>
      <w:bookmarkEnd w:id="414"/>
      <w:bookmarkEnd w:id="415"/>
      <w:bookmarkEnd w:id="416"/>
      <w:bookmarkEnd w:id="417"/>
      <w:bookmarkEnd w:id="418"/>
    </w:p>
    <w:p>
      <w:pPr>
        <w:pStyle w:val="31"/>
        <w:spacing w:before="0" w:after="0"/>
        <w:ind w:firstLine="480"/>
        <w:rPr>
          <w:rFonts w:hint="default" w:hAnsi="宋体"/>
        </w:rPr>
      </w:pPr>
      <w:r>
        <w:rPr>
          <w:rFonts w:hAnsi="宋体"/>
        </w:rPr>
        <w:t>乙方须指定一位高级经理作为质量总监（符合项目实施团队中的人员经验要求），从另一个角度观察和监督项目的开展，协助项目组解决执行中的问题，确保项目成功。投标方须提供此人员的简历和认证资质。质量总监负责项目进展和质量的统筹监督和控制，定期向招标人汇报，并提供质量监控报告。</w:t>
      </w:r>
    </w:p>
    <w:p>
      <w:pPr>
        <w:pStyle w:val="4"/>
        <w:tabs>
          <w:tab w:val="left" w:pos="1534"/>
        </w:tabs>
        <w:spacing w:after="240" w:line="360" w:lineRule="auto"/>
        <w:ind w:left="0"/>
        <w:rPr>
          <w:rFonts w:hint="default"/>
        </w:rPr>
      </w:pPr>
      <w:bookmarkStart w:id="419" w:name="_Toc19079"/>
      <w:bookmarkStart w:id="420" w:name="_Toc20830"/>
      <w:bookmarkStart w:id="421" w:name="_Toc147222372"/>
      <w:bookmarkStart w:id="422" w:name="_Toc111108475"/>
      <w:bookmarkStart w:id="423" w:name="_Toc28211"/>
      <w:bookmarkStart w:id="424" w:name="_Toc92187046"/>
      <w:bookmarkStart w:id="425" w:name="_Toc26019"/>
      <w:r>
        <w:t>供应商责任</w:t>
      </w:r>
      <w:bookmarkEnd w:id="419"/>
      <w:bookmarkEnd w:id="420"/>
      <w:bookmarkEnd w:id="421"/>
      <w:bookmarkEnd w:id="422"/>
      <w:bookmarkEnd w:id="423"/>
      <w:bookmarkEnd w:id="424"/>
      <w:bookmarkEnd w:id="425"/>
    </w:p>
    <w:p>
      <w:pPr>
        <w:pStyle w:val="31"/>
        <w:spacing w:before="0" w:after="0"/>
        <w:ind w:firstLine="480"/>
        <w:rPr>
          <w:rFonts w:hint="default" w:hAnsi="宋体"/>
        </w:rPr>
      </w:pPr>
      <w:r>
        <w:rPr>
          <w:rFonts w:hAnsi="宋体"/>
        </w:rPr>
        <w:t>供应商须确认并承诺能够完成本技术规范中所要求的需求内容以及按要求组织项目团队，确认并承诺承担本技术规范书中所要求供应商承担的所有责任。</w:t>
      </w:r>
    </w:p>
    <w:p>
      <w:pPr>
        <w:pStyle w:val="31"/>
        <w:spacing w:before="0" w:after="0"/>
        <w:ind w:firstLine="480"/>
        <w:rPr>
          <w:rFonts w:hint="default" w:hAnsi="宋体"/>
        </w:rPr>
      </w:pPr>
      <w:r>
        <w:rPr>
          <w:rFonts w:hAnsi="宋体"/>
        </w:rPr>
        <w:t>招标人在发放中标通知书之前，可视情况设置测试验证环节，投标人需在规定时间内提供测试产品进行功能验证。</w:t>
      </w:r>
    </w:p>
    <w:p>
      <w:pPr>
        <w:pStyle w:val="5"/>
        <w:spacing w:before="0" w:after="0" w:line="360" w:lineRule="auto"/>
        <w:rPr>
          <w:rFonts w:ascii="宋体" w:hAnsi="宋体"/>
        </w:rPr>
      </w:pPr>
      <w:bookmarkStart w:id="426" w:name="_Toc3958"/>
      <w:bookmarkStart w:id="427" w:name="_Toc16752"/>
      <w:bookmarkStart w:id="428" w:name="_Toc111108476"/>
      <w:bookmarkStart w:id="429" w:name="_Toc13616"/>
      <w:bookmarkStart w:id="430" w:name="_Toc92187047"/>
      <w:bookmarkStart w:id="431" w:name="_Toc147222373"/>
      <w:bookmarkStart w:id="432" w:name="_Toc10536"/>
      <w:r>
        <w:rPr>
          <w:rFonts w:hint="eastAsia" w:ascii="宋体" w:hAnsi="宋体"/>
        </w:rPr>
        <w:t>供应商组织要求</w:t>
      </w:r>
      <w:bookmarkEnd w:id="426"/>
      <w:bookmarkEnd w:id="427"/>
      <w:bookmarkEnd w:id="428"/>
      <w:bookmarkEnd w:id="429"/>
      <w:bookmarkEnd w:id="430"/>
      <w:bookmarkEnd w:id="431"/>
      <w:bookmarkEnd w:id="432"/>
    </w:p>
    <w:p>
      <w:pPr>
        <w:pStyle w:val="31"/>
        <w:spacing w:before="0" w:after="0"/>
        <w:ind w:firstLine="480"/>
        <w:rPr>
          <w:rFonts w:hint="default" w:hAnsi="宋体"/>
        </w:rPr>
      </w:pPr>
      <w:r>
        <w:rPr>
          <w:rFonts w:hAnsi="宋体"/>
        </w:rPr>
        <w:t>为保障项目以及产品落地成功，同时为了确保乙方提供的技术服务响应的及时性、有效性，要求乙方具备网络安全服务能力，拥有金融行业5年相关安全技术服务案例；要求乙方具备本地团队，提供本次项目团队主要成员简历；需提供乙方团队成员最近半年的社保缴纳证明。</w:t>
      </w:r>
    </w:p>
    <w:p>
      <w:pPr>
        <w:pStyle w:val="5"/>
        <w:spacing w:before="0" w:after="0" w:line="360" w:lineRule="auto"/>
        <w:rPr>
          <w:rFonts w:ascii="宋体" w:hAnsi="宋体"/>
        </w:rPr>
      </w:pPr>
      <w:bookmarkStart w:id="433" w:name="_Toc25450"/>
      <w:bookmarkStart w:id="434" w:name="_Toc147222374"/>
      <w:bookmarkStart w:id="435" w:name="_Toc16071"/>
      <w:bookmarkStart w:id="436" w:name="_Toc25770"/>
      <w:bookmarkStart w:id="437" w:name="_Toc111108477"/>
      <w:bookmarkStart w:id="438" w:name="_Toc14950"/>
      <w:bookmarkStart w:id="439" w:name="_Toc92187048"/>
      <w:r>
        <w:rPr>
          <w:rFonts w:hint="eastAsia" w:ascii="宋体" w:hAnsi="宋体"/>
        </w:rPr>
        <w:t>供应商职责要求</w:t>
      </w:r>
      <w:bookmarkEnd w:id="433"/>
      <w:bookmarkEnd w:id="434"/>
      <w:bookmarkEnd w:id="435"/>
      <w:bookmarkEnd w:id="436"/>
      <w:bookmarkEnd w:id="437"/>
      <w:bookmarkEnd w:id="438"/>
      <w:bookmarkEnd w:id="439"/>
    </w:p>
    <w:p>
      <w:pPr>
        <w:pStyle w:val="31"/>
        <w:spacing w:before="0" w:after="0"/>
        <w:ind w:firstLine="480"/>
        <w:rPr>
          <w:rFonts w:hint="default" w:hAnsi="宋体"/>
        </w:rPr>
      </w:pPr>
      <w:r>
        <w:rPr>
          <w:rFonts w:hAnsi="宋体"/>
        </w:rPr>
        <w:t>供应商须对项目的全部内容进行应答，按照本技术规范要求提交全部资料，并对本技术规范各方面做出实质性响应。</w:t>
      </w:r>
    </w:p>
    <w:p>
      <w:pPr>
        <w:pStyle w:val="31"/>
        <w:numPr>
          <w:ilvl w:val="0"/>
          <w:numId w:val="7"/>
        </w:numPr>
        <w:spacing w:before="0" w:after="0"/>
        <w:ind w:firstLineChars="0"/>
        <w:rPr>
          <w:rFonts w:hint="default" w:hAnsi="宋体"/>
        </w:rPr>
      </w:pPr>
      <w:r>
        <w:rPr>
          <w:rFonts w:hAnsi="宋体"/>
        </w:rPr>
        <w:t>对本项目范围、内容、所承担的任务的理解与确认；</w:t>
      </w:r>
    </w:p>
    <w:p>
      <w:pPr>
        <w:pStyle w:val="31"/>
        <w:numPr>
          <w:ilvl w:val="0"/>
          <w:numId w:val="7"/>
        </w:numPr>
        <w:spacing w:before="0" w:after="0"/>
        <w:ind w:firstLineChars="0"/>
        <w:rPr>
          <w:rFonts w:hint="default" w:hAnsi="宋体"/>
        </w:rPr>
      </w:pPr>
      <w:r>
        <w:rPr>
          <w:rFonts w:hAnsi="宋体"/>
        </w:rPr>
        <w:t>本项目管理方案建议包括但不限于：</w:t>
      </w:r>
    </w:p>
    <w:p>
      <w:pPr>
        <w:pStyle w:val="31"/>
        <w:numPr>
          <w:ilvl w:val="0"/>
          <w:numId w:val="8"/>
        </w:numPr>
        <w:spacing w:before="0" w:after="0"/>
        <w:ind w:firstLineChars="0"/>
        <w:rPr>
          <w:rFonts w:hint="default" w:hAnsi="宋体"/>
        </w:rPr>
      </w:pPr>
      <w:r>
        <w:rPr>
          <w:rFonts w:hAnsi="宋体"/>
        </w:rPr>
        <w:t>设计项目组织结构，明确双方职责和主要任务；</w:t>
      </w:r>
    </w:p>
    <w:p>
      <w:pPr>
        <w:pStyle w:val="31"/>
        <w:numPr>
          <w:ilvl w:val="0"/>
          <w:numId w:val="8"/>
        </w:numPr>
        <w:spacing w:before="0" w:after="0"/>
        <w:ind w:firstLineChars="0"/>
        <w:rPr>
          <w:rFonts w:hint="default" w:hAnsi="宋体"/>
        </w:rPr>
      </w:pPr>
      <w:r>
        <w:rPr>
          <w:rFonts w:hAnsi="宋体"/>
        </w:rPr>
        <w:t>详细工作进度计划/策略，包括对工时、人力、费用等资源需求的预期；</w:t>
      </w:r>
    </w:p>
    <w:p>
      <w:pPr>
        <w:pStyle w:val="31"/>
        <w:numPr>
          <w:ilvl w:val="0"/>
          <w:numId w:val="8"/>
        </w:numPr>
        <w:spacing w:before="0" w:after="0"/>
        <w:ind w:firstLineChars="0"/>
        <w:rPr>
          <w:rFonts w:hint="default" w:hAnsi="宋体"/>
        </w:rPr>
      </w:pPr>
      <w:r>
        <w:rPr>
          <w:rFonts w:hAnsi="宋体"/>
        </w:rPr>
        <w:t>拟提交成果清单及说明；</w:t>
      </w:r>
    </w:p>
    <w:p>
      <w:pPr>
        <w:pStyle w:val="31"/>
        <w:numPr>
          <w:ilvl w:val="0"/>
          <w:numId w:val="8"/>
        </w:numPr>
        <w:spacing w:before="0" w:after="0"/>
        <w:ind w:firstLineChars="0"/>
        <w:rPr>
          <w:rFonts w:hint="default" w:hAnsi="宋体"/>
        </w:rPr>
      </w:pPr>
      <w:r>
        <w:rPr>
          <w:rFonts w:hAnsi="宋体"/>
        </w:rPr>
        <w:t>培训方案；</w:t>
      </w:r>
    </w:p>
    <w:p>
      <w:pPr>
        <w:pStyle w:val="31"/>
        <w:numPr>
          <w:ilvl w:val="0"/>
          <w:numId w:val="8"/>
        </w:numPr>
        <w:spacing w:before="0" w:after="0"/>
        <w:ind w:firstLineChars="0"/>
        <w:rPr>
          <w:rFonts w:hint="default" w:hAnsi="宋体"/>
        </w:rPr>
      </w:pPr>
      <w:r>
        <w:rPr>
          <w:rFonts w:hAnsi="宋体"/>
        </w:rPr>
        <w:t>项目人员简历及资质证明；</w:t>
      </w:r>
    </w:p>
    <w:p>
      <w:pPr>
        <w:pStyle w:val="31"/>
        <w:numPr>
          <w:ilvl w:val="0"/>
          <w:numId w:val="8"/>
        </w:numPr>
        <w:spacing w:before="0" w:after="0"/>
        <w:ind w:firstLineChars="0"/>
        <w:rPr>
          <w:rFonts w:hint="default" w:hAnsi="宋体"/>
        </w:rPr>
      </w:pPr>
      <w:r>
        <w:rPr>
          <w:rFonts w:hAnsi="宋体"/>
        </w:rPr>
        <w:t>项目实施经验；</w:t>
      </w:r>
    </w:p>
    <w:p>
      <w:pPr>
        <w:pStyle w:val="31"/>
        <w:numPr>
          <w:ilvl w:val="0"/>
          <w:numId w:val="8"/>
        </w:numPr>
        <w:spacing w:before="0" w:after="0"/>
        <w:ind w:firstLineChars="0"/>
        <w:rPr>
          <w:rFonts w:hint="default" w:hAnsi="宋体"/>
        </w:rPr>
      </w:pPr>
      <w:r>
        <w:rPr>
          <w:rFonts w:hAnsi="宋体"/>
        </w:rPr>
        <w:t>项目实施组织、工作职责；</w:t>
      </w:r>
    </w:p>
    <w:p>
      <w:pPr>
        <w:pStyle w:val="31"/>
        <w:numPr>
          <w:ilvl w:val="0"/>
          <w:numId w:val="8"/>
        </w:numPr>
        <w:spacing w:before="0" w:after="0"/>
        <w:ind w:firstLineChars="0"/>
        <w:rPr>
          <w:rFonts w:hint="default" w:hAnsi="宋体"/>
        </w:rPr>
      </w:pPr>
      <w:r>
        <w:rPr>
          <w:rFonts w:hAnsi="宋体"/>
        </w:rPr>
        <w:t>项目验收标准。</w:t>
      </w:r>
    </w:p>
    <w:p>
      <w:pPr>
        <w:pStyle w:val="31"/>
        <w:numPr>
          <w:ilvl w:val="0"/>
          <w:numId w:val="7"/>
        </w:numPr>
        <w:spacing w:before="0" w:after="0"/>
        <w:ind w:firstLineChars="0"/>
        <w:rPr>
          <w:rFonts w:hint="default" w:hAnsi="宋体"/>
        </w:rPr>
      </w:pPr>
      <w:r>
        <w:rPr>
          <w:rFonts w:hAnsi="宋体"/>
        </w:rPr>
        <w:t>项目实施阶段职责包括但不限于：</w:t>
      </w:r>
    </w:p>
    <w:p>
      <w:pPr>
        <w:pStyle w:val="31"/>
        <w:numPr>
          <w:ilvl w:val="0"/>
          <w:numId w:val="9"/>
        </w:numPr>
        <w:spacing w:before="0" w:after="0"/>
        <w:ind w:firstLineChars="0"/>
        <w:rPr>
          <w:rFonts w:hint="default" w:hAnsi="宋体"/>
        </w:rPr>
      </w:pPr>
      <w:r>
        <w:rPr>
          <w:rFonts w:hAnsi="宋体"/>
          <w:snapToGrid w:val="0"/>
        </w:rPr>
        <w:t>提供现状调研与需求分析、系统建设与测试、人员培训、其他增值服务；</w:t>
      </w:r>
    </w:p>
    <w:p>
      <w:pPr>
        <w:pStyle w:val="31"/>
        <w:numPr>
          <w:ilvl w:val="0"/>
          <w:numId w:val="9"/>
        </w:numPr>
        <w:spacing w:before="0" w:after="0"/>
        <w:ind w:firstLineChars="0"/>
        <w:rPr>
          <w:rFonts w:hint="default" w:hAnsi="宋体"/>
        </w:rPr>
      </w:pPr>
      <w:r>
        <w:rPr>
          <w:rFonts w:hAnsi="宋体"/>
        </w:rPr>
        <w:t>编制项目实施过程中的相关材料、会议纪要等；</w:t>
      </w:r>
    </w:p>
    <w:p>
      <w:pPr>
        <w:pStyle w:val="31"/>
        <w:numPr>
          <w:ilvl w:val="0"/>
          <w:numId w:val="9"/>
        </w:numPr>
        <w:spacing w:before="0" w:after="0"/>
        <w:ind w:firstLineChars="0"/>
        <w:rPr>
          <w:rFonts w:hint="default" w:hAnsi="宋体"/>
        </w:rPr>
      </w:pPr>
      <w:r>
        <w:rPr>
          <w:rFonts w:hAnsi="宋体"/>
        </w:rPr>
        <w:t>项目实施完成总结。</w:t>
      </w:r>
    </w:p>
    <w:p>
      <w:pPr>
        <w:ind w:firstLine="0" w:firstLineChars="0"/>
        <w:rPr>
          <w:rFonts w:hint="default" w:hAnsi="宋体"/>
        </w:rPr>
      </w:pPr>
    </w:p>
    <w:bookmarkEnd w:id="400"/>
    <w:bookmarkEnd w:id="401"/>
    <w:bookmarkEnd w:id="402"/>
    <w:bookmarkEnd w:id="403"/>
    <w:p>
      <w:pPr>
        <w:pStyle w:val="4"/>
        <w:tabs>
          <w:tab w:val="left" w:pos="1534"/>
        </w:tabs>
        <w:spacing w:after="240" w:line="360" w:lineRule="auto"/>
        <w:ind w:left="0"/>
        <w:rPr>
          <w:rFonts w:hint="default"/>
        </w:rPr>
      </w:pPr>
      <w:bookmarkStart w:id="440" w:name="_Toc25914"/>
      <w:bookmarkStart w:id="441" w:name="_Toc147222375"/>
      <w:bookmarkStart w:id="442" w:name="_Toc12406"/>
      <w:bookmarkStart w:id="443" w:name="_Toc18568"/>
      <w:bookmarkStart w:id="444" w:name="_Toc27481"/>
      <w:bookmarkStart w:id="445" w:name="_Toc92187049"/>
      <w:bookmarkStart w:id="446" w:name="_Toc111108478"/>
      <w:r>
        <w:t>培训与知识转移</w:t>
      </w:r>
      <w:bookmarkEnd w:id="440"/>
      <w:bookmarkEnd w:id="441"/>
      <w:bookmarkEnd w:id="442"/>
      <w:bookmarkEnd w:id="443"/>
      <w:bookmarkEnd w:id="444"/>
      <w:bookmarkEnd w:id="445"/>
      <w:bookmarkEnd w:id="446"/>
    </w:p>
    <w:p>
      <w:pPr>
        <w:pStyle w:val="31"/>
        <w:spacing w:before="0" w:after="0"/>
        <w:ind w:firstLine="480"/>
        <w:rPr>
          <w:rFonts w:hint="default" w:hAnsi="宋体"/>
        </w:rPr>
      </w:pPr>
      <w:r>
        <w:rPr>
          <w:rFonts w:hAnsi="宋体"/>
        </w:rPr>
        <w:t>在项目中，为确保项目的可持续性发展，保证从设计阶段到实施阶段和上线维护的平滑过渡，以及降低不同阶段过渡过程的不确定性和可能的执行偏差，通过多种方式提供项目技术培训。</w:t>
      </w:r>
    </w:p>
    <w:p>
      <w:pPr>
        <w:pStyle w:val="31"/>
        <w:spacing w:before="0" w:after="0"/>
        <w:ind w:firstLine="480"/>
        <w:rPr>
          <w:rFonts w:hint="default" w:hAnsi="宋体"/>
        </w:rPr>
      </w:pPr>
      <w:r>
        <w:rPr>
          <w:rFonts w:hAnsi="宋体"/>
        </w:rPr>
        <w:t>知识转移是将专家的特定能力转移到项目组的客户成员，并最终转移到客户整个组织。根据本次项目总体内容和时间进度要求，乙方安排有关项目方法、项目成果等方面的培训,相关知识培训内容包括：</w:t>
      </w:r>
    </w:p>
    <w:p>
      <w:pPr>
        <w:pStyle w:val="5"/>
        <w:spacing w:before="0" w:after="0" w:line="360" w:lineRule="auto"/>
        <w:rPr>
          <w:rFonts w:ascii="宋体" w:hAnsi="宋体"/>
        </w:rPr>
      </w:pPr>
      <w:bookmarkStart w:id="447" w:name="_Toc29103"/>
      <w:bookmarkStart w:id="448" w:name="_Toc26147"/>
      <w:bookmarkStart w:id="449" w:name="_Toc147222376"/>
      <w:bookmarkStart w:id="450" w:name="_Toc22340"/>
      <w:bookmarkStart w:id="451" w:name="_Toc13944"/>
      <w:bookmarkStart w:id="452" w:name="_Toc111108479"/>
      <w:r>
        <w:rPr>
          <w:rFonts w:hint="eastAsia" w:ascii="宋体" w:hAnsi="宋体"/>
        </w:rPr>
        <w:t>培训要求</w:t>
      </w:r>
      <w:bookmarkEnd w:id="447"/>
      <w:bookmarkEnd w:id="448"/>
      <w:bookmarkEnd w:id="449"/>
      <w:bookmarkEnd w:id="450"/>
      <w:bookmarkEnd w:id="451"/>
      <w:bookmarkEnd w:id="452"/>
    </w:p>
    <w:p>
      <w:pPr>
        <w:pStyle w:val="31"/>
        <w:spacing w:before="0" w:after="0"/>
        <w:ind w:firstLine="480"/>
        <w:rPr>
          <w:rFonts w:hint="default" w:hAnsi="宋体"/>
        </w:rPr>
      </w:pPr>
      <w:r>
        <w:rPr>
          <w:rFonts w:hAnsi="宋体"/>
        </w:rPr>
        <w:t>1）在项目实施过程中，通过技术培训、人员访谈、数据收集、分析整理、研讨会等形式向项目组进行知识转移；</w:t>
      </w:r>
    </w:p>
    <w:p>
      <w:pPr>
        <w:pStyle w:val="31"/>
        <w:spacing w:before="0" w:after="0"/>
        <w:ind w:firstLine="480"/>
        <w:rPr>
          <w:rFonts w:hint="default" w:hAnsi="宋体"/>
        </w:rPr>
      </w:pPr>
      <w:r>
        <w:rPr>
          <w:rFonts w:hAnsi="宋体"/>
        </w:rPr>
        <w:t>2）应提供繁体中文培训资料、讲义、模板等资料。</w:t>
      </w:r>
    </w:p>
    <w:p>
      <w:pPr>
        <w:pStyle w:val="5"/>
        <w:spacing w:before="0" w:after="0" w:line="360" w:lineRule="auto"/>
        <w:rPr>
          <w:rFonts w:ascii="宋体" w:hAnsi="宋体"/>
        </w:rPr>
      </w:pPr>
      <w:bookmarkStart w:id="453" w:name="_Toc16131"/>
      <w:bookmarkStart w:id="454" w:name="_Toc27556"/>
      <w:r>
        <w:rPr>
          <w:rFonts w:hint="eastAsia" w:ascii="宋体" w:hAnsi="宋体"/>
        </w:rPr>
        <w:t>系统功能、流程及使用操作培训</w:t>
      </w:r>
      <w:bookmarkEnd w:id="453"/>
      <w:bookmarkEnd w:id="454"/>
    </w:p>
    <w:p>
      <w:pPr>
        <w:pStyle w:val="31"/>
        <w:spacing w:before="0" w:after="0"/>
        <w:ind w:firstLine="480"/>
        <w:rPr>
          <w:rFonts w:hint="default" w:hAnsi="宋体"/>
        </w:rPr>
      </w:pPr>
      <w:r>
        <w:rPr>
          <w:rFonts w:hAnsi="宋体"/>
        </w:rPr>
        <w:t>面向系统使用人员的培训，目标是使系统使用人员快速熟悉系统的功能特点，熟练掌握相关的功能操作及使用流程。</w:t>
      </w:r>
    </w:p>
    <w:p>
      <w:pPr>
        <w:pStyle w:val="5"/>
        <w:spacing w:before="0" w:after="0" w:line="360" w:lineRule="auto"/>
        <w:rPr>
          <w:rFonts w:ascii="宋体" w:hAnsi="宋体"/>
        </w:rPr>
      </w:pPr>
      <w:bookmarkStart w:id="455" w:name="_Toc919"/>
      <w:bookmarkStart w:id="456" w:name="_Toc19936"/>
      <w:r>
        <w:rPr>
          <w:rFonts w:hint="eastAsia" w:ascii="宋体" w:hAnsi="宋体"/>
        </w:rPr>
        <w:t>系统运维维护管理培训</w:t>
      </w:r>
      <w:bookmarkEnd w:id="455"/>
      <w:bookmarkEnd w:id="456"/>
    </w:p>
    <w:p>
      <w:pPr>
        <w:pStyle w:val="31"/>
        <w:spacing w:before="0" w:after="0"/>
        <w:ind w:firstLine="480"/>
        <w:rPr>
          <w:rFonts w:hint="default" w:hAnsi="宋体"/>
          <w:color w:val="FF0000"/>
        </w:rPr>
      </w:pPr>
      <w:r>
        <w:rPr>
          <w:rFonts w:hAnsi="宋体"/>
        </w:rPr>
        <w:t>面向系统运维维护管理的培训，目标是使系统运维管理人员能快速熟悉系统的部署架构、所用技术及组件、日常运维管理、维护、故障排查等技能。</w:t>
      </w:r>
    </w:p>
    <w:p>
      <w:pPr>
        <w:pStyle w:val="4"/>
        <w:tabs>
          <w:tab w:val="left" w:pos="1534"/>
        </w:tabs>
        <w:spacing w:after="240" w:line="360" w:lineRule="auto"/>
        <w:ind w:left="0"/>
        <w:rPr>
          <w:rFonts w:hint="default"/>
        </w:rPr>
      </w:pPr>
      <w:bookmarkStart w:id="457" w:name="_Toc111108480"/>
      <w:bookmarkStart w:id="458" w:name="_Toc11837"/>
      <w:bookmarkStart w:id="459" w:name="_Toc14828"/>
      <w:bookmarkStart w:id="460" w:name="_Toc147222378"/>
      <w:bookmarkStart w:id="461" w:name="_Toc92187053"/>
      <w:bookmarkStart w:id="462" w:name="_Toc31531"/>
      <w:bookmarkStart w:id="463" w:name="_Toc7137"/>
      <w:r>
        <w:t>项目交付与成果物</w:t>
      </w:r>
      <w:bookmarkEnd w:id="457"/>
      <w:bookmarkEnd w:id="458"/>
      <w:bookmarkEnd w:id="459"/>
      <w:bookmarkEnd w:id="460"/>
      <w:bookmarkEnd w:id="461"/>
      <w:bookmarkEnd w:id="462"/>
      <w:bookmarkEnd w:id="463"/>
    </w:p>
    <w:p>
      <w:pPr>
        <w:pStyle w:val="5"/>
        <w:spacing w:before="0" w:after="0" w:line="360" w:lineRule="auto"/>
        <w:rPr>
          <w:rFonts w:ascii="宋体" w:hAnsi="宋体"/>
        </w:rPr>
      </w:pPr>
      <w:bookmarkStart w:id="464" w:name="_Toc2813"/>
      <w:bookmarkStart w:id="465" w:name="_Toc28104"/>
      <w:bookmarkStart w:id="466" w:name="_Toc147222379"/>
      <w:bookmarkStart w:id="467" w:name="_Toc15497"/>
      <w:bookmarkStart w:id="468" w:name="_Toc111108481"/>
      <w:bookmarkStart w:id="469" w:name="_Toc92187054"/>
      <w:bookmarkStart w:id="470" w:name="_Toc6768"/>
      <w:r>
        <w:rPr>
          <w:rFonts w:hint="eastAsia" w:ascii="宋体" w:hAnsi="宋体"/>
        </w:rPr>
        <w:t>项目成果交付</w:t>
      </w:r>
      <w:bookmarkEnd w:id="464"/>
      <w:bookmarkEnd w:id="465"/>
      <w:bookmarkEnd w:id="466"/>
      <w:bookmarkEnd w:id="467"/>
      <w:bookmarkEnd w:id="468"/>
      <w:bookmarkEnd w:id="469"/>
      <w:bookmarkEnd w:id="470"/>
    </w:p>
    <w:p>
      <w:pPr>
        <w:pStyle w:val="31"/>
        <w:spacing w:before="0" w:after="0"/>
        <w:ind w:firstLine="480"/>
        <w:rPr>
          <w:rFonts w:hint="default" w:hAnsi="宋体"/>
        </w:rPr>
      </w:pPr>
      <w:r>
        <w:rPr>
          <w:rFonts w:hAnsi="宋体"/>
        </w:rPr>
        <w:t>为了确保项目实施的成功，在项目中的各级交付文件非常重要，乙方需要按照双方约定的格式提交项目相关文档。</w:t>
      </w:r>
    </w:p>
    <w:p>
      <w:pPr>
        <w:pStyle w:val="31"/>
        <w:spacing w:before="0" w:after="0"/>
        <w:ind w:firstLine="480"/>
        <w:rPr>
          <w:rFonts w:hint="default" w:hAnsi="宋体"/>
        </w:rPr>
      </w:pPr>
      <w:r>
        <w:rPr>
          <w:rFonts w:hAnsi="宋体"/>
        </w:rPr>
        <w:t>为确保项目按照项目预期的计划执行，在项目实施过程中，一些重要文件需要国寿海外项目经理或相关人员进行审批和确认。</w:t>
      </w:r>
    </w:p>
    <w:p>
      <w:pPr>
        <w:pStyle w:val="31"/>
        <w:spacing w:before="0" w:after="0"/>
        <w:ind w:firstLine="480"/>
        <w:rPr>
          <w:rFonts w:hint="default" w:hAnsi="宋体"/>
        </w:rPr>
      </w:pPr>
      <w:r>
        <w:rPr>
          <w:rFonts w:hAnsi="宋体"/>
        </w:rPr>
        <w:t>在项目各阶段交付物内容与要求（包含但不限于以下内容）：</w:t>
      </w:r>
    </w:p>
    <w:p>
      <w:pPr>
        <w:pStyle w:val="31"/>
        <w:spacing w:before="0" w:after="0"/>
        <w:ind w:left="480" w:firstLine="0" w:firstLineChars="0"/>
        <w:rPr>
          <w:rFonts w:hint="default" w:hAnsi="宋体" w:cs="宋体"/>
          <w:szCs w:val="22"/>
        </w:rPr>
      </w:pPr>
      <w:r>
        <w:rPr>
          <w:rFonts w:hAnsi="宋体" w:cs="宋体"/>
          <w:szCs w:val="22"/>
        </w:rPr>
        <w:t>（一）交付文档</w:t>
      </w:r>
    </w:p>
    <w:tbl>
      <w:tblPr>
        <w:tblStyle w:val="22"/>
        <w:tblW w:w="406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2258"/>
        <w:gridCol w:w="1169"/>
        <w:gridCol w:w="3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30" w:hRule="atLeast"/>
          <w:jc w:val="center"/>
        </w:trPr>
        <w:tc>
          <w:tcPr>
            <w:tcW w:w="1662" w:type="pct"/>
            <w:shd w:val="clear" w:color="auto" w:fill="D7D7D7" w:themeFill="background1" w:themeFillShade="D8"/>
            <w:vAlign w:val="center"/>
          </w:tcPr>
          <w:p>
            <w:pPr>
              <w:widowControl/>
              <w:spacing w:before="0" w:after="0" w:line="240" w:lineRule="auto"/>
              <w:ind w:firstLine="0" w:firstLineChars="0"/>
              <w:jc w:val="center"/>
              <w:rPr>
                <w:rFonts w:hint="default" w:asciiTheme="minorEastAsia" w:hAnsiTheme="minorEastAsia" w:eastAsiaTheme="minorEastAsia" w:cstheme="minorEastAsia"/>
                <w:b/>
                <w:color w:val="000000" w:themeColor="text1"/>
                <w:kern w:val="0"/>
                <w:sz w:val="18"/>
                <w:szCs w:val="18"/>
                <w14:textFill>
                  <w14:solidFill>
                    <w14:schemeClr w14:val="tx1"/>
                  </w14:solidFill>
                </w14:textFill>
              </w:rPr>
            </w:pPr>
            <w:r>
              <w:rPr>
                <w:rFonts w:asciiTheme="minorEastAsia" w:hAnsiTheme="minorEastAsia" w:eastAsiaTheme="minorEastAsia" w:cstheme="minorEastAsia"/>
                <w:b/>
                <w:color w:val="000000" w:themeColor="text1"/>
                <w:kern w:val="0"/>
                <w:sz w:val="18"/>
                <w:szCs w:val="18"/>
                <w14:textFill>
                  <w14:solidFill>
                    <w14:schemeClr w14:val="tx1"/>
                  </w14:solidFill>
                </w14:textFill>
              </w:rPr>
              <w:t>阶段</w:t>
            </w:r>
          </w:p>
        </w:tc>
        <w:tc>
          <w:tcPr>
            <w:tcW w:w="860" w:type="pct"/>
            <w:shd w:val="clear" w:color="auto" w:fill="D7D7D7" w:themeFill="background1" w:themeFillShade="D8"/>
            <w:vAlign w:val="center"/>
          </w:tcPr>
          <w:p>
            <w:pPr>
              <w:widowControl/>
              <w:spacing w:before="0" w:after="0" w:line="240" w:lineRule="auto"/>
              <w:ind w:firstLine="0" w:firstLineChars="0"/>
              <w:jc w:val="center"/>
              <w:rPr>
                <w:rFonts w:hint="default" w:asciiTheme="minorEastAsia" w:hAnsiTheme="minorEastAsia" w:eastAsiaTheme="minorEastAsia" w:cstheme="minorEastAsia"/>
                <w:b/>
                <w:color w:val="000000" w:themeColor="text1"/>
                <w:kern w:val="0"/>
                <w:sz w:val="18"/>
                <w:szCs w:val="18"/>
                <w14:textFill>
                  <w14:solidFill>
                    <w14:schemeClr w14:val="tx1"/>
                  </w14:solidFill>
                </w14:textFill>
              </w:rPr>
            </w:pPr>
            <w:r>
              <w:rPr>
                <w:rFonts w:asciiTheme="minorEastAsia" w:hAnsiTheme="minorEastAsia" w:eastAsiaTheme="minorEastAsia" w:cstheme="minorEastAsia"/>
                <w:b/>
                <w:color w:val="000000" w:themeColor="text1"/>
                <w:kern w:val="0"/>
                <w:sz w:val="18"/>
                <w:szCs w:val="18"/>
                <w14:textFill>
                  <w14:solidFill>
                    <w14:schemeClr w14:val="tx1"/>
                  </w14:solidFill>
                </w14:textFill>
              </w:rPr>
              <w:t>编号</w:t>
            </w:r>
          </w:p>
        </w:tc>
        <w:tc>
          <w:tcPr>
            <w:tcW w:w="2477" w:type="pct"/>
            <w:shd w:val="clear" w:color="auto" w:fill="D7D7D7" w:themeFill="background1" w:themeFillShade="D8"/>
            <w:noWrap/>
            <w:vAlign w:val="center"/>
          </w:tcPr>
          <w:p>
            <w:pPr>
              <w:widowControl/>
              <w:spacing w:before="0" w:after="0" w:line="240" w:lineRule="auto"/>
              <w:ind w:firstLine="0" w:firstLineChars="0"/>
              <w:rPr>
                <w:rFonts w:hint="default" w:asciiTheme="minorEastAsia" w:hAnsiTheme="minorEastAsia" w:eastAsiaTheme="minorEastAsia" w:cstheme="minorEastAsia"/>
                <w:b/>
                <w:color w:val="000000" w:themeColor="text1"/>
                <w:kern w:val="0"/>
                <w:sz w:val="18"/>
                <w:szCs w:val="18"/>
                <w14:textFill>
                  <w14:solidFill>
                    <w14:schemeClr w14:val="tx1"/>
                  </w14:solidFill>
                </w14:textFill>
              </w:rPr>
            </w:pPr>
            <w:r>
              <w:rPr>
                <w:rFonts w:asciiTheme="minorEastAsia" w:hAnsiTheme="minorEastAsia" w:eastAsiaTheme="minorEastAsia" w:cstheme="minorEastAsia"/>
                <w:b/>
                <w:color w:val="000000" w:themeColor="text1"/>
                <w:kern w:val="0"/>
                <w:sz w:val="18"/>
                <w:szCs w:val="18"/>
                <w14:textFill>
                  <w14:solidFill>
                    <w14:schemeClr w14:val="tx1"/>
                  </w14:solidFill>
                </w14:textFill>
              </w:rPr>
              <w:t>交付文档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5" w:hRule="atLeast"/>
          <w:jc w:val="center"/>
        </w:trPr>
        <w:tc>
          <w:tcPr>
            <w:tcW w:w="1662" w:type="pct"/>
            <w:vMerge w:val="restart"/>
            <w:vAlign w:val="center"/>
          </w:tcPr>
          <w:p>
            <w:pPr>
              <w:pStyle w:val="19"/>
              <w:shd w:val="clear" w:color="auto" w:fill="FFFFFF"/>
              <w:spacing w:before="0" w:after="0" w:line="240" w:lineRule="auto"/>
              <w:ind w:firstLine="0" w:firstLineChars="0"/>
              <w:jc w:val="center"/>
              <w:rPr>
                <w:rFonts w:hint="eastAsia" w:asciiTheme="minorEastAsia" w:hAnsiTheme="minorEastAsia" w:eastAsiaTheme="minorEastAsia" w:cstheme="minorEastAsia"/>
                <w:b/>
                <w:color w:val="000000"/>
                <w:sz w:val="18"/>
                <w:szCs w:val="18"/>
                <w:lang w:eastAsia="zh-CN"/>
              </w:rPr>
            </w:pPr>
            <w:r>
              <w:rPr>
                <w:rFonts w:hint="eastAsia" w:asciiTheme="minorEastAsia" w:hAnsiTheme="minorEastAsia" w:eastAsiaTheme="minorEastAsia" w:cstheme="minorEastAsia"/>
                <w:b/>
                <w:color w:val="000000"/>
                <w:sz w:val="18"/>
                <w:szCs w:val="18"/>
              </w:rPr>
              <w:t>需求</w:t>
            </w:r>
            <w:r>
              <w:rPr>
                <w:rFonts w:hint="eastAsia" w:asciiTheme="minorEastAsia" w:hAnsiTheme="minorEastAsia" w:eastAsiaTheme="minorEastAsia" w:cstheme="minorEastAsia"/>
                <w:b/>
                <w:color w:val="000000"/>
                <w:sz w:val="18"/>
                <w:szCs w:val="18"/>
                <w:lang w:val="en-US" w:eastAsia="zh-CN"/>
              </w:rPr>
              <w:t>分析</w:t>
            </w:r>
          </w:p>
        </w:tc>
        <w:tc>
          <w:tcPr>
            <w:tcW w:w="860" w:type="pct"/>
            <w:vAlign w:val="center"/>
          </w:tcPr>
          <w:p>
            <w:pPr>
              <w:widowControl/>
              <w:spacing w:before="0" w:after="0" w:line="240" w:lineRule="auto"/>
              <w:ind w:firstLine="0" w:firstLineChars="0"/>
              <w:jc w:val="center"/>
              <w:rPr>
                <w:rFonts w:hint="default" w:asciiTheme="minorEastAsia" w:hAnsiTheme="minorEastAsia" w:eastAsiaTheme="minorEastAsia" w:cstheme="minorEastAsia"/>
                <w:color w:val="000000"/>
                <w:sz w:val="18"/>
                <w:szCs w:val="18"/>
              </w:rPr>
            </w:pPr>
            <w:r>
              <w:rPr>
                <w:rFonts w:asciiTheme="minorEastAsia" w:hAnsiTheme="minorEastAsia" w:eastAsiaTheme="minorEastAsia" w:cstheme="minorEastAsia"/>
                <w:color w:val="000000" w:themeColor="text1"/>
                <w:kern w:val="0"/>
                <w:sz w:val="18"/>
                <w:szCs w:val="18"/>
                <w14:textFill>
                  <w14:solidFill>
                    <w14:schemeClr w14:val="tx1"/>
                  </w14:solidFill>
                </w14:textFill>
              </w:rPr>
              <w:t>1</w:t>
            </w:r>
          </w:p>
        </w:tc>
        <w:tc>
          <w:tcPr>
            <w:tcW w:w="2477" w:type="pct"/>
            <w:shd w:val="clear" w:color="auto" w:fill="auto"/>
            <w:noWrap/>
          </w:tcPr>
          <w:p>
            <w:pPr>
              <w:widowControl/>
              <w:spacing w:before="0" w:after="0" w:line="240" w:lineRule="auto"/>
              <w:ind w:firstLine="0" w:firstLineChars="0"/>
              <w:rPr>
                <w:rFonts w:hint="default" w:asciiTheme="minorEastAsia" w:hAnsiTheme="minorEastAsia" w:eastAsiaTheme="minorEastAsia" w:cstheme="minorEastAsia"/>
                <w:color w:val="000000" w:themeColor="text1"/>
                <w:kern w:val="0"/>
                <w:sz w:val="18"/>
                <w:szCs w:val="18"/>
                <w:lang w:val="en-US" w:eastAsia="zh-CN"/>
                <w14:textFill>
                  <w14:solidFill>
                    <w14:schemeClr w14:val="tx1"/>
                  </w14:solidFill>
                </w14:textFill>
              </w:rPr>
            </w:pPr>
            <w:r>
              <w:rPr>
                <w:rFonts w:hint="eastAsia" w:asciiTheme="minorEastAsia" w:hAnsiTheme="minorEastAsia" w:eastAsiaTheme="minorEastAsia" w:cstheme="minorEastAsia"/>
                <w:color w:val="000000"/>
                <w:sz w:val="18"/>
                <w:szCs w:val="18"/>
                <w:lang w:val="en-US" w:eastAsia="zh-CN"/>
              </w:rPr>
              <w:t>流程定义文档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662" w:type="pct"/>
            <w:vMerge w:val="continue"/>
            <w:vAlign w:val="center"/>
          </w:tcPr>
          <w:p>
            <w:pPr>
              <w:widowControl/>
              <w:spacing w:before="0" w:after="0" w:line="240" w:lineRule="auto"/>
              <w:ind w:firstLine="0" w:firstLineChars="0"/>
              <w:jc w:val="center"/>
              <w:rPr>
                <w:rFonts w:hint="default" w:asciiTheme="minorEastAsia" w:hAnsiTheme="minorEastAsia" w:eastAsiaTheme="minorEastAsia" w:cstheme="minorEastAsia"/>
                <w:b/>
                <w:color w:val="000000" w:themeColor="text1"/>
                <w:kern w:val="0"/>
                <w:sz w:val="18"/>
                <w:szCs w:val="18"/>
                <w14:textFill>
                  <w14:solidFill>
                    <w14:schemeClr w14:val="tx1"/>
                  </w14:solidFill>
                </w14:textFill>
              </w:rPr>
            </w:pPr>
          </w:p>
        </w:tc>
        <w:tc>
          <w:tcPr>
            <w:tcW w:w="860" w:type="pct"/>
            <w:vAlign w:val="center"/>
          </w:tcPr>
          <w:p>
            <w:pPr>
              <w:widowControl/>
              <w:spacing w:before="0" w:after="0" w:line="240" w:lineRule="auto"/>
              <w:ind w:firstLine="0" w:firstLineChars="0"/>
              <w:jc w:val="center"/>
              <w:rPr>
                <w:rFonts w:hint="default" w:asciiTheme="minorEastAsia" w:hAnsiTheme="minorEastAsia" w:eastAsiaTheme="minorEastAsia" w:cstheme="minorEastAsia"/>
                <w:color w:val="000000"/>
                <w:sz w:val="18"/>
                <w:szCs w:val="18"/>
              </w:rPr>
            </w:pPr>
            <w:r>
              <w:rPr>
                <w:rFonts w:asciiTheme="minorEastAsia" w:hAnsiTheme="minorEastAsia" w:eastAsiaTheme="minorEastAsia" w:cstheme="minorEastAsia"/>
                <w:color w:val="000000" w:themeColor="text1"/>
                <w:kern w:val="0"/>
                <w:sz w:val="18"/>
                <w:szCs w:val="18"/>
                <w14:textFill>
                  <w14:solidFill>
                    <w14:schemeClr w14:val="tx1"/>
                  </w14:solidFill>
                </w14:textFill>
              </w:rPr>
              <w:t>2</w:t>
            </w:r>
          </w:p>
        </w:tc>
        <w:tc>
          <w:tcPr>
            <w:tcW w:w="2477" w:type="pct"/>
            <w:shd w:val="clear" w:color="auto" w:fill="auto"/>
            <w:noWrap/>
          </w:tcPr>
          <w:p>
            <w:pPr>
              <w:widowControl/>
              <w:spacing w:before="0" w:after="0" w:line="240" w:lineRule="auto"/>
              <w:ind w:firstLine="0" w:firstLineChars="0"/>
              <w:rPr>
                <w:rFonts w:hint="default" w:asciiTheme="minorEastAsia" w:hAnsiTheme="minorEastAsia" w:eastAsiaTheme="minorEastAsia" w:cstheme="minorEastAsia"/>
                <w:color w:val="000000"/>
                <w:sz w:val="18"/>
                <w:szCs w:val="18"/>
              </w:rPr>
            </w:pPr>
            <w:r>
              <w:rPr>
                <w:rFonts w:asciiTheme="minorEastAsia" w:hAnsiTheme="minorEastAsia" w:eastAsiaTheme="minorEastAsia" w:cstheme="minorEastAsia"/>
                <w:color w:val="000000"/>
                <w:sz w:val="18"/>
                <w:szCs w:val="18"/>
              </w:rPr>
              <w:t>项目实施计划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8" w:hRule="atLeast"/>
          <w:jc w:val="center"/>
        </w:trPr>
        <w:tc>
          <w:tcPr>
            <w:tcW w:w="1662" w:type="pct"/>
            <w:vMerge w:val="continue"/>
            <w:vAlign w:val="center"/>
          </w:tcPr>
          <w:p>
            <w:pPr>
              <w:widowControl/>
              <w:spacing w:before="0" w:after="0" w:line="240" w:lineRule="auto"/>
              <w:ind w:firstLine="0" w:firstLineChars="0"/>
              <w:jc w:val="center"/>
              <w:rPr>
                <w:rFonts w:hint="default" w:asciiTheme="minorEastAsia" w:hAnsiTheme="minorEastAsia" w:eastAsiaTheme="minorEastAsia" w:cstheme="minorEastAsia"/>
                <w:b/>
                <w:color w:val="000000" w:themeColor="text1"/>
                <w:kern w:val="0"/>
                <w:sz w:val="18"/>
                <w:szCs w:val="18"/>
                <w14:textFill>
                  <w14:solidFill>
                    <w14:schemeClr w14:val="tx1"/>
                  </w14:solidFill>
                </w14:textFill>
              </w:rPr>
            </w:pPr>
          </w:p>
        </w:tc>
        <w:tc>
          <w:tcPr>
            <w:tcW w:w="860" w:type="pct"/>
            <w:vAlign w:val="center"/>
          </w:tcPr>
          <w:p>
            <w:pPr>
              <w:widowControl/>
              <w:spacing w:before="0" w:after="0" w:line="240" w:lineRule="auto"/>
              <w:ind w:firstLine="0" w:firstLineChars="0"/>
              <w:jc w:val="center"/>
              <w:rPr>
                <w:rFonts w:hint="default" w:asciiTheme="minorEastAsia" w:hAnsiTheme="minorEastAsia" w:eastAsiaTheme="minorEastAsia" w:cstheme="minorEastAsia"/>
                <w:color w:val="000000"/>
                <w:sz w:val="18"/>
                <w:szCs w:val="18"/>
              </w:rPr>
            </w:pPr>
            <w:r>
              <w:rPr>
                <w:rFonts w:asciiTheme="minorEastAsia" w:hAnsiTheme="minorEastAsia" w:eastAsiaTheme="minorEastAsia" w:cstheme="minorEastAsia"/>
                <w:color w:val="000000" w:themeColor="text1"/>
                <w:kern w:val="0"/>
                <w:sz w:val="18"/>
                <w:szCs w:val="18"/>
                <w14:textFill>
                  <w14:solidFill>
                    <w14:schemeClr w14:val="tx1"/>
                  </w14:solidFill>
                </w14:textFill>
              </w:rPr>
              <w:t>3</w:t>
            </w:r>
          </w:p>
        </w:tc>
        <w:tc>
          <w:tcPr>
            <w:tcW w:w="2477" w:type="pct"/>
            <w:shd w:val="clear" w:color="auto" w:fill="auto"/>
            <w:noWrap/>
          </w:tcPr>
          <w:p>
            <w:pPr>
              <w:widowControl/>
              <w:spacing w:before="0" w:after="0" w:line="240" w:lineRule="auto"/>
              <w:ind w:firstLine="0" w:firstLineChars="0"/>
              <w:rPr>
                <w:rFonts w:hint="default"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val="en-US" w:eastAsia="zh-CN"/>
              </w:rPr>
              <w:t>流程</w:t>
            </w:r>
            <w:r>
              <w:rPr>
                <w:rFonts w:asciiTheme="minorEastAsia" w:hAnsiTheme="minorEastAsia" w:eastAsiaTheme="minorEastAsia" w:cstheme="minorEastAsia"/>
                <w:color w:val="000000"/>
                <w:sz w:val="18"/>
                <w:szCs w:val="18"/>
              </w:rPr>
              <w:t>需求说明书及系统原型图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5" w:hRule="atLeast"/>
          <w:jc w:val="center"/>
        </w:trPr>
        <w:tc>
          <w:tcPr>
            <w:tcW w:w="1662" w:type="pct"/>
            <w:vMerge w:val="restart"/>
            <w:vAlign w:val="center"/>
          </w:tcPr>
          <w:p>
            <w:pPr>
              <w:pStyle w:val="19"/>
              <w:shd w:val="clear" w:color="auto" w:fill="FFFFFF"/>
              <w:spacing w:before="0" w:after="0" w:line="240" w:lineRule="auto"/>
              <w:ind w:firstLine="0" w:firstLineChars="0"/>
              <w:jc w:val="center"/>
              <w:rPr>
                <w:rFonts w:asciiTheme="minorEastAsia" w:hAnsiTheme="minorEastAsia" w:eastAsiaTheme="minorEastAsia" w:cstheme="minorEastAsia"/>
                <w:b/>
                <w:color w:val="000000"/>
                <w:sz w:val="18"/>
                <w:szCs w:val="18"/>
              </w:rPr>
            </w:pPr>
            <w:r>
              <w:rPr>
                <w:rFonts w:hint="eastAsia" w:asciiTheme="minorEastAsia" w:hAnsiTheme="minorEastAsia" w:eastAsiaTheme="minorEastAsia" w:cstheme="minorEastAsia"/>
                <w:b/>
                <w:color w:val="000000"/>
                <w:sz w:val="18"/>
                <w:szCs w:val="18"/>
              </w:rPr>
              <w:t>系统设计</w:t>
            </w:r>
          </w:p>
        </w:tc>
        <w:tc>
          <w:tcPr>
            <w:tcW w:w="860" w:type="pct"/>
            <w:vAlign w:val="center"/>
          </w:tcPr>
          <w:p>
            <w:pPr>
              <w:pStyle w:val="19"/>
              <w:shd w:val="clear" w:color="auto" w:fill="FFFFFF"/>
              <w:spacing w:before="0" w:after="0" w:line="240" w:lineRule="auto"/>
              <w:ind w:firstLine="0" w:firstLineChars="0"/>
              <w:jc w:val="center"/>
              <w:rPr>
                <w:rFonts w:asciiTheme="minorEastAsia" w:hAnsiTheme="minorEastAsia" w:eastAsiaTheme="minorEastAsia" w:cstheme="minorEastAsia"/>
                <w:color w:val="000000" w:themeColor="text1"/>
                <w:sz w:val="18"/>
                <w:szCs w:val="18"/>
                <w14:textFill>
                  <w14:solidFill>
                    <w14:schemeClr w14:val="tx1"/>
                  </w14:solidFill>
                </w14:textFill>
              </w:rPr>
            </w:pPr>
            <w:r>
              <w:rPr>
                <w:rFonts w:hint="eastAsia" w:asciiTheme="minorEastAsia" w:hAnsiTheme="minorEastAsia" w:eastAsiaTheme="minorEastAsia" w:cstheme="minorEastAsia"/>
                <w:color w:val="000000" w:themeColor="text1"/>
                <w:sz w:val="18"/>
                <w:szCs w:val="18"/>
                <w14:textFill>
                  <w14:solidFill>
                    <w14:schemeClr w14:val="tx1"/>
                  </w14:solidFill>
                </w14:textFill>
              </w:rPr>
              <w:t>4</w:t>
            </w:r>
          </w:p>
        </w:tc>
        <w:tc>
          <w:tcPr>
            <w:tcW w:w="2477" w:type="pct"/>
            <w:shd w:val="clear" w:color="auto" w:fill="auto"/>
            <w:noWrap/>
            <w:vAlign w:val="center"/>
          </w:tcPr>
          <w:p>
            <w:pPr>
              <w:pStyle w:val="19"/>
              <w:shd w:val="clear" w:color="auto" w:fill="FFFFFF"/>
              <w:spacing w:before="0" w:after="0" w:line="240" w:lineRule="auto"/>
              <w:ind w:firstLine="0" w:firstLineChars="0"/>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eastAsiaTheme="minorEastAsia" w:cstheme="minorEastAsia"/>
                <w:color w:val="000000"/>
                <w:sz w:val="18"/>
                <w:szCs w:val="18"/>
                <w:lang w:val="en-US" w:eastAsia="zh-CN"/>
              </w:rPr>
              <w:t>解决方案设计文档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5" w:hRule="atLeast"/>
          <w:jc w:val="center"/>
        </w:trPr>
        <w:tc>
          <w:tcPr>
            <w:tcW w:w="1662" w:type="pct"/>
            <w:vMerge w:val="continue"/>
            <w:vAlign w:val="center"/>
          </w:tcPr>
          <w:p>
            <w:pPr>
              <w:widowControl/>
              <w:spacing w:before="0" w:after="0" w:line="240" w:lineRule="auto"/>
              <w:ind w:firstLine="0" w:firstLineChars="0"/>
              <w:jc w:val="center"/>
              <w:rPr>
                <w:rFonts w:hint="default" w:asciiTheme="minorEastAsia" w:hAnsiTheme="minorEastAsia" w:eastAsiaTheme="minorEastAsia" w:cstheme="minorEastAsia"/>
                <w:b/>
                <w:color w:val="000000" w:themeColor="text1"/>
                <w:kern w:val="0"/>
                <w:sz w:val="18"/>
                <w:szCs w:val="18"/>
                <w14:textFill>
                  <w14:solidFill>
                    <w14:schemeClr w14:val="tx1"/>
                  </w14:solidFill>
                </w14:textFill>
              </w:rPr>
            </w:pPr>
          </w:p>
        </w:tc>
        <w:tc>
          <w:tcPr>
            <w:tcW w:w="860" w:type="pct"/>
            <w:vAlign w:val="center"/>
          </w:tcPr>
          <w:p>
            <w:pPr>
              <w:widowControl/>
              <w:spacing w:before="0" w:after="0" w:line="240" w:lineRule="auto"/>
              <w:ind w:firstLine="0" w:firstLineChars="0"/>
              <w:jc w:val="center"/>
              <w:rPr>
                <w:rFonts w:hint="eastAsia" w:asciiTheme="minorEastAsia" w:hAnsiTheme="minorEastAsia" w:eastAsiaTheme="minorEastAsia" w:cstheme="minorEastAsia"/>
                <w:color w:val="000000" w:themeColor="text1"/>
                <w:kern w:val="0"/>
                <w:sz w:val="18"/>
                <w:szCs w:val="18"/>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18"/>
                <w:szCs w:val="18"/>
                <w:lang w:val="en-US" w:eastAsia="zh-CN"/>
                <w14:textFill>
                  <w14:solidFill>
                    <w14:schemeClr w14:val="tx1"/>
                  </w14:solidFill>
                </w14:textFill>
              </w:rPr>
              <w:t>5</w:t>
            </w:r>
          </w:p>
        </w:tc>
        <w:tc>
          <w:tcPr>
            <w:tcW w:w="2477" w:type="pct"/>
            <w:shd w:val="clear" w:color="auto" w:fill="auto"/>
            <w:noWrap/>
            <w:vAlign w:val="center"/>
          </w:tcPr>
          <w:p>
            <w:pPr>
              <w:widowControl/>
              <w:spacing w:before="0" w:after="0" w:line="240" w:lineRule="auto"/>
              <w:ind w:firstLine="0" w:firstLineChars="0"/>
              <w:rPr>
                <w:rFonts w:hint="default" w:asciiTheme="minorEastAsia" w:hAnsiTheme="minorEastAsia" w:eastAsiaTheme="minorEastAsia" w:cstheme="minorEastAsia"/>
                <w:color w:val="000000"/>
                <w:sz w:val="18"/>
                <w:szCs w:val="18"/>
              </w:rPr>
            </w:pPr>
            <w:r>
              <w:rPr>
                <w:rFonts w:asciiTheme="minorEastAsia" w:hAnsiTheme="minorEastAsia" w:eastAsiaTheme="minorEastAsia" w:cstheme="minorEastAsia"/>
                <w:color w:val="000000"/>
                <w:sz w:val="18"/>
                <w:szCs w:val="18"/>
              </w:rPr>
              <w:t>数据迁移方案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5" w:hRule="atLeast"/>
          <w:jc w:val="center"/>
        </w:trPr>
        <w:tc>
          <w:tcPr>
            <w:tcW w:w="1662" w:type="pct"/>
            <w:vMerge w:val="continue"/>
            <w:vAlign w:val="center"/>
          </w:tcPr>
          <w:p>
            <w:pPr>
              <w:widowControl/>
              <w:spacing w:before="0" w:after="0" w:line="240" w:lineRule="auto"/>
              <w:ind w:firstLine="0" w:firstLineChars="0"/>
              <w:jc w:val="center"/>
              <w:rPr>
                <w:rFonts w:hint="default" w:asciiTheme="minorEastAsia" w:hAnsiTheme="minorEastAsia" w:eastAsiaTheme="minorEastAsia" w:cstheme="minorEastAsia"/>
                <w:b/>
                <w:color w:val="000000" w:themeColor="text1"/>
                <w:kern w:val="0"/>
                <w:sz w:val="18"/>
                <w:szCs w:val="18"/>
                <w14:textFill>
                  <w14:solidFill>
                    <w14:schemeClr w14:val="tx1"/>
                  </w14:solidFill>
                </w14:textFill>
              </w:rPr>
            </w:pPr>
          </w:p>
        </w:tc>
        <w:tc>
          <w:tcPr>
            <w:tcW w:w="860" w:type="pct"/>
            <w:vAlign w:val="center"/>
          </w:tcPr>
          <w:p>
            <w:pPr>
              <w:widowControl/>
              <w:spacing w:before="0" w:after="0" w:line="240" w:lineRule="auto"/>
              <w:ind w:firstLine="0" w:firstLineChars="0"/>
              <w:jc w:val="center"/>
              <w:rPr>
                <w:rFonts w:hint="eastAsia" w:asciiTheme="minorEastAsia" w:hAnsiTheme="minorEastAsia" w:eastAsiaTheme="minorEastAsia" w:cstheme="minorEastAsia"/>
                <w:color w:val="000000"/>
                <w:sz w:val="18"/>
                <w:szCs w:val="18"/>
                <w:lang w:eastAsia="zh-CN"/>
              </w:rPr>
            </w:pPr>
            <w:r>
              <w:rPr>
                <w:rFonts w:hint="eastAsia" w:asciiTheme="minorEastAsia" w:hAnsiTheme="minorEastAsia" w:eastAsiaTheme="minorEastAsia" w:cstheme="minorEastAsia"/>
                <w:color w:val="000000" w:themeColor="text1"/>
                <w:kern w:val="0"/>
                <w:sz w:val="18"/>
                <w:szCs w:val="18"/>
                <w:lang w:val="en-US" w:eastAsia="zh-CN"/>
                <w14:textFill>
                  <w14:solidFill>
                    <w14:schemeClr w14:val="tx1"/>
                  </w14:solidFill>
                </w14:textFill>
              </w:rPr>
              <w:t>6</w:t>
            </w:r>
          </w:p>
        </w:tc>
        <w:tc>
          <w:tcPr>
            <w:tcW w:w="2477" w:type="pct"/>
            <w:shd w:val="clear" w:color="auto" w:fill="auto"/>
            <w:noWrap/>
            <w:vAlign w:val="center"/>
          </w:tcPr>
          <w:p>
            <w:pPr>
              <w:widowControl/>
              <w:spacing w:before="0" w:after="0" w:line="240" w:lineRule="auto"/>
              <w:ind w:firstLine="0" w:firstLineChars="0"/>
              <w:rPr>
                <w:rFonts w:hint="default" w:asciiTheme="minorEastAsia" w:hAnsiTheme="minorEastAsia" w:eastAsiaTheme="minorEastAsia" w:cstheme="minorEastAsia"/>
                <w:color w:val="000000" w:themeColor="text1"/>
                <w:kern w:val="0"/>
                <w:sz w:val="18"/>
                <w:szCs w:val="18"/>
                <w14:textFill>
                  <w14:solidFill>
                    <w14:schemeClr w14:val="tx1"/>
                  </w14:solidFill>
                </w14:textFill>
              </w:rPr>
            </w:pPr>
            <w:r>
              <w:rPr>
                <w:rFonts w:asciiTheme="minorEastAsia" w:hAnsiTheme="minorEastAsia" w:eastAsiaTheme="minorEastAsia" w:cstheme="minorEastAsia"/>
                <w:color w:val="000000"/>
                <w:sz w:val="18"/>
                <w:szCs w:val="18"/>
              </w:rPr>
              <w:t>程序编码规范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5" w:hRule="atLeast"/>
          <w:jc w:val="center"/>
        </w:trPr>
        <w:tc>
          <w:tcPr>
            <w:tcW w:w="1662" w:type="pct"/>
            <w:vMerge w:val="restart"/>
            <w:vAlign w:val="center"/>
          </w:tcPr>
          <w:p>
            <w:pPr>
              <w:pStyle w:val="19"/>
              <w:shd w:val="clear" w:color="auto" w:fill="FFFFFF"/>
              <w:spacing w:before="0" w:after="0" w:line="240" w:lineRule="auto"/>
              <w:ind w:firstLine="0" w:firstLineChars="0"/>
              <w:jc w:val="center"/>
              <w:rPr>
                <w:rFonts w:asciiTheme="minorEastAsia" w:hAnsiTheme="minorEastAsia" w:eastAsiaTheme="minorEastAsia" w:cstheme="minorEastAsia"/>
                <w:b/>
                <w:color w:val="000000" w:themeColor="text1"/>
                <w:sz w:val="18"/>
                <w:szCs w:val="18"/>
                <w14:textFill>
                  <w14:solidFill>
                    <w14:schemeClr w14:val="tx1"/>
                  </w14:solidFill>
                </w14:textFill>
              </w:rPr>
            </w:pPr>
            <w:r>
              <w:rPr>
                <w:rFonts w:hint="eastAsia" w:asciiTheme="minorEastAsia" w:hAnsiTheme="minorEastAsia" w:eastAsiaTheme="minorEastAsia" w:cstheme="minorEastAsia"/>
                <w:b/>
                <w:color w:val="000000"/>
                <w:sz w:val="18"/>
                <w:szCs w:val="18"/>
              </w:rPr>
              <w:t>开发和测试</w:t>
            </w:r>
          </w:p>
        </w:tc>
        <w:tc>
          <w:tcPr>
            <w:tcW w:w="860" w:type="pct"/>
            <w:vAlign w:val="center"/>
          </w:tcPr>
          <w:p>
            <w:pPr>
              <w:widowControl/>
              <w:spacing w:before="0" w:after="0" w:line="240" w:lineRule="auto"/>
              <w:ind w:firstLine="0" w:firstLineChars="0"/>
              <w:jc w:val="center"/>
              <w:rPr>
                <w:rFonts w:hint="eastAsia" w:asciiTheme="minorEastAsia" w:hAnsiTheme="minorEastAsia" w:eastAsiaTheme="minorEastAsia" w:cstheme="minorEastAsia"/>
                <w:color w:val="000000"/>
                <w:sz w:val="18"/>
                <w:szCs w:val="18"/>
                <w:lang w:eastAsia="zh-CN"/>
              </w:rPr>
            </w:pPr>
            <w:r>
              <w:rPr>
                <w:rFonts w:hint="eastAsia" w:asciiTheme="minorEastAsia" w:hAnsiTheme="minorEastAsia" w:eastAsiaTheme="minorEastAsia" w:cstheme="minorEastAsia"/>
                <w:color w:val="000000" w:themeColor="text1"/>
                <w:kern w:val="0"/>
                <w:sz w:val="18"/>
                <w:szCs w:val="18"/>
                <w:lang w:val="en-US" w:eastAsia="zh-CN"/>
                <w14:textFill>
                  <w14:solidFill>
                    <w14:schemeClr w14:val="tx1"/>
                  </w14:solidFill>
                </w14:textFill>
              </w:rPr>
              <w:t>7</w:t>
            </w:r>
          </w:p>
        </w:tc>
        <w:tc>
          <w:tcPr>
            <w:tcW w:w="2477" w:type="pct"/>
            <w:shd w:val="clear" w:color="auto" w:fill="auto"/>
            <w:noWrap/>
            <w:vAlign w:val="center"/>
          </w:tcPr>
          <w:p>
            <w:pPr>
              <w:widowControl/>
              <w:spacing w:before="0" w:after="0" w:line="240" w:lineRule="auto"/>
              <w:ind w:firstLine="0" w:firstLineChars="0"/>
              <w:rPr>
                <w:rFonts w:hint="default" w:asciiTheme="minorEastAsia" w:hAnsiTheme="minorEastAsia" w:eastAsiaTheme="minorEastAsia" w:cstheme="minorEastAsia"/>
                <w:color w:val="000000" w:themeColor="text1"/>
                <w:kern w:val="0"/>
                <w:sz w:val="18"/>
                <w:szCs w:val="18"/>
                <w14:textFill>
                  <w14:solidFill>
                    <w14:schemeClr w14:val="tx1"/>
                  </w14:solidFill>
                </w14:textFill>
              </w:rPr>
            </w:pPr>
            <w:r>
              <w:rPr>
                <w:rFonts w:asciiTheme="minorEastAsia" w:hAnsiTheme="minorEastAsia" w:eastAsiaTheme="minorEastAsia" w:cstheme="minorEastAsia"/>
                <w:color w:val="000000"/>
                <w:sz w:val="18"/>
                <w:szCs w:val="18"/>
              </w:rPr>
              <w:t>集成测试报告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5" w:hRule="atLeast"/>
          <w:jc w:val="center"/>
        </w:trPr>
        <w:tc>
          <w:tcPr>
            <w:tcW w:w="1662" w:type="pct"/>
            <w:vMerge w:val="continue"/>
            <w:vAlign w:val="center"/>
          </w:tcPr>
          <w:p>
            <w:pPr>
              <w:widowControl/>
              <w:spacing w:before="0" w:after="0" w:line="240" w:lineRule="auto"/>
              <w:ind w:firstLine="0" w:firstLineChars="0"/>
              <w:jc w:val="center"/>
              <w:rPr>
                <w:rFonts w:hint="default" w:asciiTheme="minorEastAsia" w:hAnsiTheme="minorEastAsia" w:eastAsiaTheme="minorEastAsia" w:cstheme="minorEastAsia"/>
                <w:b/>
                <w:color w:val="000000" w:themeColor="text1"/>
                <w:kern w:val="0"/>
                <w:sz w:val="18"/>
                <w:szCs w:val="18"/>
                <w14:textFill>
                  <w14:solidFill>
                    <w14:schemeClr w14:val="tx1"/>
                  </w14:solidFill>
                </w14:textFill>
              </w:rPr>
            </w:pPr>
          </w:p>
        </w:tc>
        <w:tc>
          <w:tcPr>
            <w:tcW w:w="860" w:type="pct"/>
            <w:vAlign w:val="center"/>
          </w:tcPr>
          <w:p>
            <w:pPr>
              <w:widowControl/>
              <w:spacing w:before="0" w:after="0" w:line="240" w:lineRule="auto"/>
              <w:ind w:firstLine="0" w:firstLineChars="0"/>
              <w:jc w:val="center"/>
              <w:rPr>
                <w:rFonts w:hint="eastAsia" w:asciiTheme="minorEastAsia" w:hAnsiTheme="minorEastAsia" w:eastAsiaTheme="minorEastAsia" w:cstheme="minorEastAsia"/>
                <w:color w:val="000000" w:themeColor="text1"/>
                <w:kern w:val="0"/>
                <w:sz w:val="18"/>
                <w:szCs w:val="18"/>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18"/>
                <w:szCs w:val="18"/>
                <w:lang w:val="en-US" w:eastAsia="zh-CN"/>
                <w14:textFill>
                  <w14:solidFill>
                    <w14:schemeClr w14:val="tx1"/>
                  </w14:solidFill>
                </w14:textFill>
              </w:rPr>
              <w:t>8</w:t>
            </w:r>
          </w:p>
        </w:tc>
        <w:tc>
          <w:tcPr>
            <w:tcW w:w="2477" w:type="pct"/>
            <w:shd w:val="clear" w:color="auto" w:fill="auto"/>
            <w:noWrap/>
            <w:vAlign w:val="center"/>
          </w:tcPr>
          <w:p>
            <w:pPr>
              <w:widowControl/>
              <w:spacing w:before="0" w:after="0" w:line="240" w:lineRule="auto"/>
              <w:ind w:firstLine="0" w:firstLineChars="0"/>
              <w:rPr>
                <w:rFonts w:hint="default" w:asciiTheme="minorEastAsia" w:hAnsiTheme="minorEastAsia" w:eastAsiaTheme="minorEastAsia" w:cstheme="minorEastAsia"/>
                <w:color w:val="000000" w:themeColor="text1"/>
                <w:kern w:val="0"/>
                <w:sz w:val="18"/>
                <w:szCs w:val="18"/>
                <w14:textFill>
                  <w14:solidFill>
                    <w14:schemeClr w14:val="tx1"/>
                  </w14:solidFill>
                </w14:textFill>
              </w:rPr>
            </w:pPr>
            <w:r>
              <w:rPr>
                <w:rFonts w:asciiTheme="minorEastAsia" w:hAnsiTheme="minorEastAsia" w:eastAsiaTheme="minorEastAsia" w:cstheme="minorEastAsia"/>
                <w:color w:val="000000" w:themeColor="text1"/>
                <w:kern w:val="0"/>
                <w:sz w:val="18"/>
                <w:szCs w:val="18"/>
                <w14:textFill>
                  <w14:solidFill>
                    <w14:schemeClr w14:val="tx1"/>
                  </w14:solidFill>
                </w14:textFill>
              </w:rPr>
              <w:t>压力测试报告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5" w:hRule="atLeast"/>
          <w:jc w:val="center"/>
        </w:trPr>
        <w:tc>
          <w:tcPr>
            <w:tcW w:w="1662" w:type="pct"/>
            <w:vMerge w:val="continue"/>
            <w:vAlign w:val="center"/>
          </w:tcPr>
          <w:p>
            <w:pPr>
              <w:widowControl/>
              <w:spacing w:before="0" w:after="0" w:line="240" w:lineRule="auto"/>
              <w:ind w:firstLine="0" w:firstLineChars="0"/>
              <w:jc w:val="center"/>
              <w:rPr>
                <w:rFonts w:hint="default" w:asciiTheme="minorEastAsia" w:hAnsiTheme="minorEastAsia" w:eastAsiaTheme="minorEastAsia" w:cstheme="minorEastAsia"/>
                <w:b/>
                <w:color w:val="000000" w:themeColor="text1"/>
                <w:kern w:val="0"/>
                <w:sz w:val="18"/>
                <w:szCs w:val="18"/>
                <w14:textFill>
                  <w14:solidFill>
                    <w14:schemeClr w14:val="tx1"/>
                  </w14:solidFill>
                </w14:textFill>
              </w:rPr>
            </w:pPr>
          </w:p>
        </w:tc>
        <w:tc>
          <w:tcPr>
            <w:tcW w:w="860" w:type="pct"/>
            <w:vAlign w:val="center"/>
          </w:tcPr>
          <w:p>
            <w:pPr>
              <w:widowControl/>
              <w:spacing w:before="0" w:after="0" w:line="240" w:lineRule="auto"/>
              <w:ind w:firstLine="0" w:firstLineChars="0"/>
              <w:jc w:val="center"/>
              <w:rPr>
                <w:rFonts w:hint="eastAsia" w:asciiTheme="minorEastAsia" w:hAnsiTheme="minorEastAsia" w:eastAsiaTheme="minorEastAsia" w:cstheme="minorEastAsia"/>
                <w:color w:val="000000"/>
                <w:sz w:val="18"/>
                <w:szCs w:val="18"/>
                <w:lang w:eastAsia="zh-CN"/>
              </w:rPr>
            </w:pPr>
            <w:r>
              <w:rPr>
                <w:rFonts w:hint="eastAsia" w:asciiTheme="minorEastAsia" w:hAnsiTheme="minorEastAsia" w:eastAsiaTheme="minorEastAsia" w:cstheme="minorEastAsia"/>
                <w:color w:val="000000" w:themeColor="text1"/>
                <w:kern w:val="0"/>
                <w:sz w:val="18"/>
                <w:szCs w:val="18"/>
                <w:lang w:val="en-US" w:eastAsia="zh-CN"/>
                <w14:textFill>
                  <w14:solidFill>
                    <w14:schemeClr w14:val="tx1"/>
                  </w14:solidFill>
                </w14:textFill>
              </w:rPr>
              <w:t>9</w:t>
            </w:r>
          </w:p>
        </w:tc>
        <w:tc>
          <w:tcPr>
            <w:tcW w:w="2477" w:type="pct"/>
            <w:shd w:val="clear" w:color="auto" w:fill="auto"/>
            <w:noWrap/>
            <w:vAlign w:val="center"/>
          </w:tcPr>
          <w:p>
            <w:pPr>
              <w:widowControl/>
              <w:spacing w:before="0" w:after="0" w:line="240" w:lineRule="auto"/>
              <w:ind w:firstLine="0" w:firstLineChars="0"/>
              <w:rPr>
                <w:rFonts w:hint="default" w:asciiTheme="minorEastAsia" w:hAnsiTheme="minorEastAsia" w:eastAsiaTheme="minorEastAsia" w:cstheme="minorEastAsia"/>
                <w:color w:val="000000" w:themeColor="text1"/>
                <w:kern w:val="0"/>
                <w:sz w:val="18"/>
                <w:szCs w:val="18"/>
                <w14:textFill>
                  <w14:solidFill>
                    <w14:schemeClr w14:val="tx1"/>
                  </w14:solidFill>
                </w14:textFill>
              </w:rPr>
            </w:pPr>
            <w:r>
              <w:rPr>
                <w:rFonts w:asciiTheme="minorEastAsia" w:hAnsiTheme="minorEastAsia" w:eastAsiaTheme="minorEastAsia" w:cstheme="minorEastAsia"/>
                <w:color w:val="000000" w:themeColor="text1"/>
                <w:kern w:val="0"/>
                <w:sz w:val="18"/>
                <w:szCs w:val="18"/>
                <w14:textFill>
                  <w14:solidFill>
                    <w14:schemeClr w14:val="tx1"/>
                  </w14:solidFill>
                </w14:textFill>
              </w:rPr>
              <w:t>安全扫描测试报告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5" w:hRule="atLeast"/>
          <w:jc w:val="center"/>
        </w:trPr>
        <w:tc>
          <w:tcPr>
            <w:tcW w:w="1662" w:type="pct"/>
            <w:vMerge w:val="restart"/>
            <w:vAlign w:val="center"/>
          </w:tcPr>
          <w:p>
            <w:pPr>
              <w:pStyle w:val="19"/>
              <w:shd w:val="clear" w:color="auto" w:fill="FFFFFF"/>
              <w:spacing w:before="0" w:after="0" w:line="240" w:lineRule="auto"/>
              <w:ind w:firstLine="0" w:firstLineChars="0"/>
              <w:jc w:val="center"/>
              <w:rPr>
                <w:rFonts w:asciiTheme="minorEastAsia" w:hAnsiTheme="minorEastAsia" w:eastAsiaTheme="minorEastAsia" w:cstheme="minorEastAsia"/>
                <w:b/>
                <w:color w:val="000000"/>
                <w:sz w:val="18"/>
                <w:szCs w:val="18"/>
              </w:rPr>
            </w:pPr>
            <w:r>
              <w:rPr>
                <w:rFonts w:hint="eastAsia" w:asciiTheme="minorEastAsia" w:hAnsiTheme="minorEastAsia" w:eastAsiaTheme="minorEastAsia" w:cstheme="minorEastAsia"/>
                <w:b/>
                <w:color w:val="000000"/>
                <w:sz w:val="18"/>
                <w:szCs w:val="18"/>
              </w:rPr>
              <w:t>部署和运维</w:t>
            </w:r>
          </w:p>
        </w:tc>
        <w:tc>
          <w:tcPr>
            <w:tcW w:w="860" w:type="pct"/>
            <w:vAlign w:val="center"/>
          </w:tcPr>
          <w:p>
            <w:pPr>
              <w:pStyle w:val="19"/>
              <w:shd w:val="clear" w:color="auto" w:fill="FFFFFF"/>
              <w:spacing w:before="0" w:after="0" w:line="240" w:lineRule="auto"/>
              <w:ind w:firstLine="0" w:firstLineChars="0"/>
              <w:jc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eastAsiaTheme="minorEastAsia" w:cstheme="minorEastAsia"/>
                <w:color w:val="000000" w:themeColor="text1"/>
                <w:sz w:val="18"/>
                <w:szCs w:val="18"/>
                <w:lang w:val="en-US" w:eastAsia="zh-CN"/>
                <w14:textFill>
                  <w14:solidFill>
                    <w14:schemeClr w14:val="tx1"/>
                  </w14:solidFill>
                </w14:textFill>
              </w:rPr>
              <w:t>10</w:t>
            </w:r>
          </w:p>
        </w:tc>
        <w:tc>
          <w:tcPr>
            <w:tcW w:w="2477" w:type="pct"/>
            <w:shd w:val="clear" w:color="auto" w:fill="auto"/>
            <w:noWrap/>
            <w:vAlign w:val="center"/>
          </w:tcPr>
          <w:p>
            <w:pPr>
              <w:pStyle w:val="19"/>
              <w:shd w:val="clear" w:color="auto" w:fill="FFFFFF"/>
              <w:spacing w:before="0" w:after="0" w:line="240" w:lineRule="auto"/>
              <w:ind w:firstLine="0" w:firstLineChars="0"/>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系统部署手册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5" w:hRule="atLeast"/>
          <w:jc w:val="center"/>
        </w:trPr>
        <w:tc>
          <w:tcPr>
            <w:tcW w:w="1662" w:type="pct"/>
            <w:vMerge w:val="continue"/>
            <w:vAlign w:val="center"/>
          </w:tcPr>
          <w:p>
            <w:pPr>
              <w:widowControl/>
              <w:spacing w:before="0" w:after="0" w:line="240" w:lineRule="auto"/>
              <w:ind w:firstLine="0" w:firstLineChars="0"/>
              <w:jc w:val="center"/>
              <w:rPr>
                <w:rFonts w:hint="default" w:asciiTheme="minorEastAsia" w:hAnsiTheme="minorEastAsia" w:eastAsiaTheme="minorEastAsia" w:cstheme="minorEastAsia"/>
                <w:b/>
                <w:color w:val="000000" w:themeColor="text1"/>
                <w:kern w:val="0"/>
                <w:sz w:val="18"/>
                <w:szCs w:val="18"/>
                <w14:textFill>
                  <w14:solidFill>
                    <w14:schemeClr w14:val="tx1"/>
                  </w14:solidFill>
                </w14:textFill>
              </w:rPr>
            </w:pPr>
          </w:p>
        </w:tc>
        <w:tc>
          <w:tcPr>
            <w:tcW w:w="860" w:type="pct"/>
            <w:vAlign w:val="center"/>
          </w:tcPr>
          <w:p>
            <w:pPr>
              <w:widowControl/>
              <w:spacing w:before="0" w:after="0" w:line="240" w:lineRule="auto"/>
              <w:ind w:firstLine="0" w:firstLineChars="0"/>
              <w:jc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eastAsiaTheme="minorEastAsia" w:cstheme="minorEastAsia"/>
                <w:color w:val="000000" w:themeColor="text1"/>
                <w:kern w:val="0"/>
                <w:sz w:val="18"/>
                <w:szCs w:val="18"/>
                <w:lang w:val="en-US" w:eastAsia="zh-CN"/>
                <w14:textFill>
                  <w14:solidFill>
                    <w14:schemeClr w14:val="tx1"/>
                  </w14:solidFill>
                </w14:textFill>
              </w:rPr>
              <w:t>11</w:t>
            </w:r>
          </w:p>
        </w:tc>
        <w:tc>
          <w:tcPr>
            <w:tcW w:w="2477" w:type="pct"/>
            <w:shd w:val="clear" w:color="auto" w:fill="auto"/>
            <w:noWrap/>
            <w:vAlign w:val="center"/>
          </w:tcPr>
          <w:p>
            <w:pPr>
              <w:widowControl/>
              <w:spacing w:before="0" w:after="0" w:line="240" w:lineRule="auto"/>
              <w:ind w:firstLine="0" w:firstLineChars="0"/>
              <w:rPr>
                <w:rFonts w:hint="default" w:asciiTheme="minorEastAsia" w:hAnsiTheme="minorEastAsia" w:eastAsiaTheme="minorEastAsia" w:cstheme="minorEastAsia"/>
                <w:color w:val="000000" w:themeColor="text1"/>
                <w:kern w:val="0"/>
                <w:sz w:val="18"/>
                <w:szCs w:val="18"/>
                <w14:textFill>
                  <w14:solidFill>
                    <w14:schemeClr w14:val="tx1"/>
                  </w14:solidFill>
                </w14:textFill>
              </w:rPr>
            </w:pPr>
            <w:r>
              <w:rPr>
                <w:rFonts w:asciiTheme="minorEastAsia" w:hAnsiTheme="minorEastAsia" w:eastAsiaTheme="minorEastAsia" w:cstheme="minorEastAsia"/>
                <w:color w:val="000000"/>
                <w:sz w:val="18"/>
                <w:szCs w:val="18"/>
              </w:rPr>
              <w:t>系统操作手册+视频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5" w:hRule="atLeast"/>
          <w:jc w:val="center"/>
        </w:trPr>
        <w:tc>
          <w:tcPr>
            <w:tcW w:w="1662" w:type="pct"/>
            <w:vMerge w:val="continue"/>
            <w:vAlign w:val="center"/>
          </w:tcPr>
          <w:p>
            <w:pPr>
              <w:widowControl/>
              <w:spacing w:before="0" w:after="0" w:line="240" w:lineRule="auto"/>
              <w:ind w:firstLine="0" w:firstLineChars="0"/>
              <w:jc w:val="center"/>
              <w:rPr>
                <w:rFonts w:hint="default" w:asciiTheme="minorEastAsia" w:hAnsiTheme="minorEastAsia" w:eastAsiaTheme="minorEastAsia" w:cstheme="minorEastAsia"/>
                <w:b/>
                <w:color w:val="000000" w:themeColor="text1"/>
                <w:kern w:val="0"/>
                <w:sz w:val="18"/>
                <w:szCs w:val="18"/>
                <w14:textFill>
                  <w14:solidFill>
                    <w14:schemeClr w14:val="tx1"/>
                  </w14:solidFill>
                </w14:textFill>
              </w:rPr>
            </w:pPr>
          </w:p>
        </w:tc>
        <w:tc>
          <w:tcPr>
            <w:tcW w:w="860" w:type="pct"/>
            <w:vAlign w:val="center"/>
          </w:tcPr>
          <w:p>
            <w:pPr>
              <w:widowControl/>
              <w:spacing w:before="0" w:after="0" w:line="240" w:lineRule="auto"/>
              <w:ind w:firstLine="0" w:firstLineChars="0"/>
              <w:jc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eastAsiaTheme="minorEastAsia" w:cstheme="minorEastAsia"/>
                <w:color w:val="000000" w:themeColor="text1"/>
                <w:kern w:val="0"/>
                <w:sz w:val="18"/>
                <w:szCs w:val="18"/>
                <w:lang w:val="en-US" w:eastAsia="zh-CN"/>
                <w14:textFill>
                  <w14:solidFill>
                    <w14:schemeClr w14:val="tx1"/>
                  </w14:solidFill>
                </w14:textFill>
              </w:rPr>
              <w:t>12</w:t>
            </w:r>
          </w:p>
        </w:tc>
        <w:tc>
          <w:tcPr>
            <w:tcW w:w="2477" w:type="pct"/>
            <w:shd w:val="clear" w:color="auto" w:fill="auto"/>
            <w:noWrap/>
            <w:vAlign w:val="center"/>
          </w:tcPr>
          <w:p>
            <w:pPr>
              <w:widowControl/>
              <w:spacing w:before="0" w:after="0" w:line="240" w:lineRule="auto"/>
              <w:ind w:firstLine="0" w:firstLineChars="0"/>
              <w:rPr>
                <w:rFonts w:hint="default" w:asciiTheme="minorEastAsia" w:hAnsiTheme="minorEastAsia" w:eastAsiaTheme="minorEastAsia" w:cstheme="minorEastAsia"/>
                <w:color w:val="000000"/>
                <w:sz w:val="18"/>
                <w:szCs w:val="18"/>
              </w:rPr>
            </w:pPr>
            <w:r>
              <w:rPr>
                <w:rFonts w:asciiTheme="minorEastAsia" w:hAnsiTheme="minorEastAsia" w:eastAsiaTheme="minorEastAsia" w:cstheme="minorEastAsia"/>
                <w:color w:val="000000"/>
                <w:sz w:val="18"/>
                <w:szCs w:val="18"/>
              </w:rPr>
              <w:t>系统运维管理手册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5" w:hRule="atLeast"/>
          <w:jc w:val="center"/>
        </w:trPr>
        <w:tc>
          <w:tcPr>
            <w:tcW w:w="1662" w:type="pct"/>
            <w:vMerge w:val="restart"/>
            <w:vAlign w:val="center"/>
          </w:tcPr>
          <w:p>
            <w:pPr>
              <w:pStyle w:val="19"/>
              <w:shd w:val="clear" w:color="auto" w:fill="FFFFFF"/>
              <w:spacing w:before="0" w:after="0" w:line="240" w:lineRule="auto"/>
              <w:ind w:firstLine="0" w:firstLineChars="0"/>
              <w:jc w:val="center"/>
              <w:rPr>
                <w:rFonts w:asciiTheme="minorEastAsia" w:hAnsiTheme="minorEastAsia" w:eastAsiaTheme="minorEastAsia" w:cstheme="minorEastAsia"/>
                <w:b/>
                <w:color w:val="000000"/>
                <w:sz w:val="18"/>
                <w:szCs w:val="18"/>
              </w:rPr>
            </w:pPr>
            <w:r>
              <w:rPr>
                <w:rFonts w:hint="eastAsia" w:asciiTheme="minorEastAsia" w:hAnsiTheme="minorEastAsia" w:eastAsiaTheme="minorEastAsia" w:cstheme="minorEastAsia"/>
                <w:b/>
                <w:color w:val="000000"/>
                <w:sz w:val="18"/>
                <w:szCs w:val="18"/>
              </w:rPr>
              <w:t>项目总结</w:t>
            </w:r>
          </w:p>
        </w:tc>
        <w:tc>
          <w:tcPr>
            <w:tcW w:w="860" w:type="pct"/>
            <w:vAlign w:val="center"/>
          </w:tcPr>
          <w:p>
            <w:pPr>
              <w:pStyle w:val="19"/>
              <w:shd w:val="clear" w:color="auto" w:fill="FFFFFF"/>
              <w:spacing w:before="0" w:after="0" w:line="240" w:lineRule="auto"/>
              <w:ind w:firstLine="0" w:firstLineChars="0"/>
              <w:jc w:val="center"/>
              <w:rPr>
                <w:rFonts w:hint="default" w:asciiTheme="minorEastAsia" w:hAnsiTheme="minorEastAsia" w:eastAsiaTheme="minorEastAsia" w:cstheme="minorEastAsia"/>
                <w:color w:val="000000" w:themeColor="text1"/>
                <w:sz w:val="18"/>
                <w:szCs w:val="18"/>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18"/>
                <w:szCs w:val="18"/>
                <w:lang w:val="en-US" w:eastAsia="zh-CN"/>
                <w14:textFill>
                  <w14:solidFill>
                    <w14:schemeClr w14:val="tx1"/>
                  </w14:solidFill>
                </w14:textFill>
              </w:rPr>
              <w:t>13</w:t>
            </w:r>
          </w:p>
        </w:tc>
        <w:tc>
          <w:tcPr>
            <w:tcW w:w="2477" w:type="pct"/>
            <w:shd w:val="clear" w:color="auto" w:fill="auto"/>
            <w:noWrap/>
            <w:vAlign w:val="center"/>
          </w:tcPr>
          <w:p>
            <w:pPr>
              <w:pStyle w:val="19"/>
              <w:shd w:val="clear" w:color="auto" w:fill="FFFFFF"/>
              <w:spacing w:before="0" w:after="0" w:line="240" w:lineRule="auto"/>
              <w:ind w:firstLine="0" w:firstLineChars="0"/>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系统开发手册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5" w:hRule="atLeast"/>
          <w:jc w:val="center"/>
        </w:trPr>
        <w:tc>
          <w:tcPr>
            <w:tcW w:w="1662" w:type="pct"/>
            <w:vMerge w:val="continue"/>
            <w:vAlign w:val="center"/>
          </w:tcPr>
          <w:p>
            <w:pPr>
              <w:pStyle w:val="19"/>
              <w:shd w:val="clear" w:color="auto" w:fill="FFFFFF"/>
              <w:spacing w:before="0" w:after="0" w:line="240" w:lineRule="auto"/>
              <w:ind w:firstLine="0" w:firstLineChars="0"/>
              <w:jc w:val="center"/>
              <w:rPr>
                <w:rFonts w:asciiTheme="minorEastAsia" w:hAnsiTheme="minorEastAsia" w:eastAsiaTheme="minorEastAsia" w:cstheme="minorEastAsia"/>
                <w:b/>
                <w:color w:val="000000"/>
                <w:sz w:val="18"/>
                <w:szCs w:val="18"/>
              </w:rPr>
            </w:pPr>
          </w:p>
        </w:tc>
        <w:tc>
          <w:tcPr>
            <w:tcW w:w="860" w:type="pct"/>
            <w:vAlign w:val="center"/>
          </w:tcPr>
          <w:p>
            <w:pPr>
              <w:pStyle w:val="19"/>
              <w:shd w:val="clear" w:color="auto" w:fill="FFFFFF"/>
              <w:spacing w:before="0" w:after="0" w:line="240" w:lineRule="auto"/>
              <w:ind w:firstLine="0" w:firstLineChars="0"/>
              <w:jc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eastAsiaTheme="minorEastAsia" w:cstheme="minorEastAsia"/>
                <w:color w:val="000000" w:themeColor="text1"/>
                <w:sz w:val="18"/>
                <w:szCs w:val="18"/>
                <w:lang w:val="en-US" w:eastAsia="zh-CN"/>
                <w14:textFill>
                  <w14:solidFill>
                    <w14:schemeClr w14:val="tx1"/>
                  </w14:solidFill>
                </w14:textFill>
              </w:rPr>
              <w:t>14</w:t>
            </w:r>
          </w:p>
        </w:tc>
        <w:tc>
          <w:tcPr>
            <w:tcW w:w="2477" w:type="pct"/>
            <w:shd w:val="clear" w:color="auto" w:fill="auto"/>
            <w:noWrap/>
            <w:vAlign w:val="center"/>
          </w:tcPr>
          <w:p>
            <w:pPr>
              <w:pStyle w:val="19"/>
              <w:shd w:val="clear" w:color="auto" w:fill="FFFFFF"/>
              <w:spacing w:before="0" w:after="0" w:line="240" w:lineRule="auto"/>
              <w:ind w:firstLine="0" w:firstLineChars="0"/>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项目总结报告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5" w:hRule="atLeast"/>
          <w:jc w:val="center"/>
        </w:trPr>
        <w:tc>
          <w:tcPr>
            <w:tcW w:w="1662" w:type="pct"/>
            <w:vMerge w:val="continue"/>
          </w:tcPr>
          <w:p>
            <w:pPr>
              <w:widowControl/>
              <w:spacing w:before="0" w:after="0" w:line="240" w:lineRule="auto"/>
              <w:ind w:firstLine="0" w:firstLineChars="0"/>
              <w:rPr>
                <w:rFonts w:hint="default" w:asciiTheme="minorEastAsia" w:hAnsiTheme="minorEastAsia" w:eastAsiaTheme="minorEastAsia" w:cstheme="minorEastAsia"/>
                <w:color w:val="000000" w:themeColor="text1"/>
                <w:kern w:val="0"/>
                <w:sz w:val="18"/>
                <w:szCs w:val="18"/>
                <w14:textFill>
                  <w14:solidFill>
                    <w14:schemeClr w14:val="tx1"/>
                  </w14:solidFill>
                </w14:textFill>
              </w:rPr>
            </w:pPr>
          </w:p>
        </w:tc>
        <w:tc>
          <w:tcPr>
            <w:tcW w:w="860" w:type="pct"/>
            <w:vAlign w:val="center"/>
          </w:tcPr>
          <w:p>
            <w:pPr>
              <w:widowControl/>
              <w:spacing w:before="0" w:after="0" w:line="240" w:lineRule="auto"/>
              <w:ind w:firstLine="0" w:firstLineChars="0"/>
              <w:jc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eastAsiaTheme="minorEastAsia" w:cstheme="minorEastAsia"/>
                <w:color w:val="000000" w:themeColor="text1"/>
                <w:kern w:val="0"/>
                <w:sz w:val="18"/>
                <w:szCs w:val="18"/>
                <w:lang w:val="en-US" w:eastAsia="zh-CN"/>
                <w14:textFill>
                  <w14:solidFill>
                    <w14:schemeClr w14:val="tx1"/>
                  </w14:solidFill>
                </w14:textFill>
              </w:rPr>
              <w:t>15</w:t>
            </w:r>
          </w:p>
        </w:tc>
        <w:tc>
          <w:tcPr>
            <w:tcW w:w="2477" w:type="pct"/>
            <w:shd w:val="clear" w:color="auto" w:fill="auto"/>
            <w:noWrap/>
            <w:vAlign w:val="center"/>
          </w:tcPr>
          <w:p>
            <w:pPr>
              <w:widowControl/>
              <w:spacing w:before="0" w:after="0" w:line="240" w:lineRule="auto"/>
              <w:ind w:firstLine="0" w:firstLineChars="0"/>
              <w:rPr>
                <w:rFonts w:hint="default" w:asciiTheme="minorEastAsia" w:hAnsiTheme="minorEastAsia" w:eastAsiaTheme="minorEastAsia" w:cstheme="minorEastAsia"/>
                <w:color w:val="000000"/>
                <w:sz w:val="18"/>
                <w:szCs w:val="18"/>
              </w:rPr>
            </w:pPr>
            <w:r>
              <w:rPr>
                <w:rFonts w:asciiTheme="minorEastAsia" w:hAnsiTheme="minorEastAsia" w:eastAsiaTheme="minorEastAsia" w:cstheme="minorEastAsia"/>
                <w:color w:val="000000"/>
                <w:sz w:val="18"/>
                <w:szCs w:val="18"/>
              </w:rPr>
              <w:t>工作遗留项及关注事项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5" w:hRule="atLeast"/>
          <w:jc w:val="center"/>
        </w:trPr>
        <w:tc>
          <w:tcPr>
            <w:tcW w:w="1662" w:type="pct"/>
            <w:vMerge w:val="continue"/>
          </w:tcPr>
          <w:p>
            <w:pPr>
              <w:widowControl/>
              <w:spacing w:before="0" w:after="0" w:line="240" w:lineRule="auto"/>
              <w:ind w:firstLine="0" w:firstLineChars="0"/>
              <w:rPr>
                <w:rFonts w:hint="default" w:asciiTheme="minorEastAsia" w:hAnsiTheme="minorEastAsia" w:eastAsiaTheme="minorEastAsia" w:cstheme="minorEastAsia"/>
                <w:color w:val="000000" w:themeColor="text1"/>
                <w:kern w:val="0"/>
                <w:sz w:val="18"/>
                <w:szCs w:val="18"/>
                <w14:textFill>
                  <w14:solidFill>
                    <w14:schemeClr w14:val="tx1"/>
                  </w14:solidFill>
                </w14:textFill>
              </w:rPr>
            </w:pPr>
          </w:p>
        </w:tc>
        <w:tc>
          <w:tcPr>
            <w:tcW w:w="860" w:type="pct"/>
            <w:vAlign w:val="center"/>
          </w:tcPr>
          <w:p>
            <w:pPr>
              <w:widowControl/>
              <w:spacing w:before="0" w:after="0" w:line="240" w:lineRule="auto"/>
              <w:ind w:firstLine="0" w:firstLineChars="0"/>
              <w:jc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eastAsiaTheme="minorEastAsia" w:cstheme="minorEastAsia"/>
                <w:color w:val="000000" w:themeColor="text1"/>
                <w:kern w:val="0"/>
                <w:sz w:val="18"/>
                <w:szCs w:val="18"/>
                <w:lang w:val="en-US" w:eastAsia="zh-CN"/>
                <w14:textFill>
                  <w14:solidFill>
                    <w14:schemeClr w14:val="tx1"/>
                  </w14:solidFill>
                </w14:textFill>
              </w:rPr>
              <w:t>16</w:t>
            </w:r>
          </w:p>
        </w:tc>
        <w:tc>
          <w:tcPr>
            <w:tcW w:w="2477" w:type="pct"/>
            <w:shd w:val="clear" w:color="auto" w:fill="auto"/>
            <w:noWrap/>
            <w:vAlign w:val="center"/>
          </w:tcPr>
          <w:p>
            <w:pPr>
              <w:widowControl/>
              <w:spacing w:before="0" w:after="0" w:line="240" w:lineRule="auto"/>
              <w:ind w:firstLine="0" w:firstLineChars="0"/>
              <w:rPr>
                <w:rFonts w:hint="default" w:asciiTheme="minorEastAsia" w:hAnsiTheme="minorEastAsia" w:eastAsiaTheme="minorEastAsia" w:cstheme="minorEastAsia"/>
                <w:color w:val="000000"/>
                <w:sz w:val="18"/>
                <w:szCs w:val="18"/>
              </w:rPr>
            </w:pPr>
            <w:r>
              <w:rPr>
                <w:rFonts w:asciiTheme="minorEastAsia" w:hAnsiTheme="minorEastAsia" w:eastAsiaTheme="minorEastAsia" w:cstheme="minorEastAsia"/>
                <w:color w:val="000000"/>
                <w:sz w:val="18"/>
                <w:szCs w:val="18"/>
              </w:rPr>
              <w:t>系统培训手册</w:t>
            </w:r>
          </w:p>
        </w:tc>
      </w:tr>
    </w:tbl>
    <w:p>
      <w:pPr>
        <w:pStyle w:val="31"/>
        <w:numPr>
          <w:ilvl w:val="0"/>
          <w:numId w:val="10"/>
        </w:numPr>
        <w:spacing w:before="0" w:after="0"/>
        <w:ind w:left="480" w:firstLine="0" w:firstLineChars="0"/>
        <w:rPr>
          <w:rFonts w:hint="default" w:hAnsi="宋体" w:cs="宋体"/>
          <w:szCs w:val="22"/>
        </w:rPr>
      </w:pPr>
      <w:r>
        <w:rPr>
          <w:rFonts w:hAnsi="宋体" w:cs="宋体"/>
          <w:szCs w:val="22"/>
        </w:rPr>
        <w:t>交付源代码</w:t>
      </w:r>
    </w:p>
    <w:p>
      <w:pPr>
        <w:pStyle w:val="3"/>
        <w:ind w:firstLine="480"/>
        <w:rPr>
          <w:rFonts w:hint="default"/>
        </w:rPr>
      </w:pPr>
      <w:r>
        <w:t>乙方</w:t>
      </w:r>
      <w:r>
        <w:rPr>
          <w:rFonts w:hint="default"/>
        </w:rPr>
        <w:t>须</w:t>
      </w:r>
      <w:r>
        <w:t>交付</w:t>
      </w:r>
      <w:r>
        <w:rPr>
          <w:rFonts w:hint="eastAsia"/>
          <w:lang w:eastAsia="zh-CN"/>
        </w:rPr>
        <w:t>RPA业务流程维护及改造</w:t>
      </w:r>
      <w:r>
        <w:rPr>
          <w:rFonts w:hint="eastAsia"/>
        </w:rPr>
        <w:t>项目</w:t>
      </w:r>
      <w:r>
        <w:rPr>
          <w:rFonts w:hint="default"/>
        </w:rPr>
        <w:t>完整源代码</w:t>
      </w:r>
      <w:r>
        <w:t>。</w:t>
      </w:r>
    </w:p>
    <w:p>
      <w:pPr>
        <w:pStyle w:val="5"/>
        <w:spacing w:before="0" w:after="0" w:line="360" w:lineRule="auto"/>
      </w:pPr>
      <w:bookmarkStart w:id="471" w:name="_Toc111108482"/>
      <w:bookmarkStart w:id="472" w:name="_Toc534"/>
      <w:bookmarkStart w:id="473" w:name="_Toc147222380"/>
      <w:bookmarkStart w:id="474" w:name="_Toc8077"/>
      <w:bookmarkStart w:id="475" w:name="_Toc9356"/>
      <w:bookmarkStart w:id="476" w:name="_Toc92187055"/>
      <w:bookmarkStart w:id="477" w:name="_Toc24420"/>
      <w:r>
        <w:rPr>
          <w:rFonts w:hint="eastAsia" w:ascii="宋体" w:hAnsi="宋体"/>
        </w:rPr>
        <w:t>维保服务</w:t>
      </w:r>
      <w:bookmarkEnd w:id="471"/>
      <w:bookmarkEnd w:id="472"/>
      <w:bookmarkEnd w:id="473"/>
      <w:bookmarkEnd w:id="474"/>
      <w:bookmarkEnd w:id="475"/>
      <w:bookmarkEnd w:id="476"/>
      <w:bookmarkEnd w:id="477"/>
    </w:p>
    <w:p>
      <w:pPr>
        <w:pStyle w:val="3"/>
        <w:ind w:firstLine="480"/>
        <w:rPr>
          <w:rFonts w:hint="default"/>
        </w:rPr>
      </w:pPr>
      <w:r>
        <w:t>乙方在项目终验后需提供至少1年的服务承诺，包括平台升级服务以及技术支持服务，具体如下：</w:t>
      </w:r>
    </w:p>
    <w:p>
      <w:pPr>
        <w:pStyle w:val="6"/>
        <w:rPr>
          <w:rFonts w:hint="default"/>
        </w:rPr>
      </w:pPr>
      <w:bookmarkStart w:id="478" w:name="_Toc17789"/>
      <w:bookmarkStart w:id="479" w:name="_Toc19055"/>
      <w:r>
        <w:t>升级服务</w:t>
      </w:r>
      <w:bookmarkEnd w:id="478"/>
      <w:bookmarkEnd w:id="479"/>
    </w:p>
    <w:p>
      <w:pPr>
        <w:pStyle w:val="3"/>
        <w:ind w:firstLine="480"/>
        <w:rPr>
          <w:rFonts w:hint="default" w:hAnsi="宋体"/>
        </w:rPr>
      </w:pPr>
      <w:r>
        <w:rPr>
          <w:rFonts w:hAnsi="宋体"/>
        </w:rPr>
        <w:tab/>
      </w:r>
      <w:r>
        <w:rPr>
          <w:rFonts w:hAnsi="宋体"/>
        </w:rPr>
        <w:t>乙方在项目维保服务期内提供免费平台升级服务。</w:t>
      </w:r>
    </w:p>
    <w:p>
      <w:pPr>
        <w:pStyle w:val="6"/>
        <w:rPr>
          <w:rFonts w:hint="default"/>
        </w:rPr>
      </w:pPr>
      <w:bookmarkStart w:id="480" w:name="_Toc22167"/>
      <w:bookmarkStart w:id="481" w:name="_Toc10091"/>
      <w:r>
        <w:t>技术支持服务</w:t>
      </w:r>
      <w:bookmarkEnd w:id="480"/>
      <w:bookmarkEnd w:id="481"/>
    </w:p>
    <w:p>
      <w:pPr>
        <w:pStyle w:val="31"/>
        <w:spacing w:before="0" w:after="0"/>
        <w:ind w:firstLine="480"/>
        <w:rPr>
          <w:rFonts w:hint="default" w:hAnsi="宋体"/>
        </w:rPr>
      </w:pPr>
      <w:r>
        <w:rPr>
          <w:rFonts w:hAnsi="宋体"/>
        </w:rPr>
        <w:t>在项目维保服务期内，当运维平台出现问题时，乙方提供电话技术指导、邮件指导或远程技术支持，如发生紧急故障，乙方提供现场紧急技术服务，对现场服务工程师未能解决的问题，乙方需积极组织相关技术人员，包括二线专家，分析问题，制定解决方案，直至问题解决。</w:t>
      </w:r>
    </w:p>
    <w:p>
      <w:pPr>
        <w:pStyle w:val="6"/>
        <w:rPr>
          <w:rFonts w:hint="default"/>
        </w:rPr>
      </w:pPr>
      <w:bookmarkStart w:id="482" w:name="_Toc14617"/>
      <w:bookmarkStart w:id="483" w:name="_Toc29073"/>
      <w:r>
        <w:t>安全漏洞修复服务</w:t>
      </w:r>
      <w:bookmarkEnd w:id="482"/>
      <w:bookmarkEnd w:id="483"/>
    </w:p>
    <w:p>
      <w:pPr>
        <w:spacing w:before="0" w:after="0"/>
        <w:ind w:firstLine="480"/>
        <w:rPr>
          <w:rFonts w:hint="default" w:hAnsi="宋体"/>
        </w:rPr>
      </w:pPr>
      <w:r>
        <w:rPr>
          <w:rFonts w:hAnsi="宋体"/>
        </w:rPr>
        <w:t>乙方提供的产品出厂前已经完成漏洞扫描。产品上线使用过程中，因漏洞扫描程序更新带来的新的漏洞，乙方提供漏洞修复，修复时间依据双方协商而定。</w:t>
      </w:r>
    </w:p>
    <w:p>
      <w:pPr>
        <w:ind w:firstLine="480"/>
        <w:rPr>
          <w:rFonts w:hint="default"/>
        </w:rPr>
      </w:pPr>
    </w:p>
    <w:p>
      <w:pPr>
        <w:pStyle w:val="3"/>
        <w:ind w:firstLine="480"/>
        <w:rPr>
          <w:rFonts w:hint="default"/>
        </w:rPr>
      </w:pPr>
    </w:p>
    <w:p>
      <w:pPr>
        <w:pStyle w:val="3"/>
        <w:ind w:firstLine="480"/>
        <w:rPr>
          <w:rFonts w:hint="default"/>
        </w:rPr>
      </w:pPr>
    </w:p>
    <w:p>
      <w:pPr>
        <w:pStyle w:val="4"/>
        <w:tabs>
          <w:tab w:val="left" w:pos="1534"/>
        </w:tabs>
        <w:spacing w:after="240" w:line="360" w:lineRule="auto"/>
        <w:ind w:left="0"/>
        <w:rPr>
          <w:rFonts w:hint="default"/>
        </w:rPr>
      </w:pPr>
      <w:bookmarkStart w:id="484" w:name="_Toc19009"/>
      <w:bookmarkStart w:id="485" w:name="_Toc14890"/>
      <w:bookmarkStart w:id="486" w:name="_Toc147222381"/>
      <w:bookmarkStart w:id="487" w:name="_Toc9391"/>
      <w:bookmarkStart w:id="488" w:name="_Toc111108483"/>
      <w:bookmarkStart w:id="489" w:name="_Toc92187056"/>
      <w:bookmarkStart w:id="490" w:name="_Toc9791"/>
      <w:r>
        <w:t>验收</w:t>
      </w:r>
      <w:bookmarkEnd w:id="484"/>
      <w:bookmarkEnd w:id="485"/>
      <w:bookmarkEnd w:id="486"/>
      <w:bookmarkEnd w:id="487"/>
      <w:bookmarkEnd w:id="488"/>
      <w:bookmarkEnd w:id="489"/>
      <w:bookmarkEnd w:id="490"/>
    </w:p>
    <w:p>
      <w:pPr>
        <w:ind w:firstLine="0" w:firstLineChars="0"/>
        <w:rPr>
          <w:rFonts w:hint="default"/>
        </w:rPr>
      </w:pPr>
      <w:r>
        <w:t>本项目的验收标准为：</w:t>
      </w:r>
    </w:p>
    <w:p>
      <w:pPr>
        <w:pStyle w:val="30"/>
        <w:numPr>
          <w:ilvl w:val="0"/>
          <w:numId w:val="11"/>
        </w:numPr>
        <w:ind w:firstLineChars="0"/>
        <w:rPr>
          <w:rFonts w:hint="default"/>
        </w:rPr>
      </w:pPr>
      <w:r>
        <w:t>乙方完成</w:t>
      </w:r>
      <w:r>
        <w:rPr>
          <w:rFonts w:hint="eastAsia"/>
          <w:lang w:eastAsia="zh-CN"/>
        </w:rPr>
        <w:t>RPA业务流程维护及改造</w:t>
      </w:r>
      <w:r>
        <w:rPr>
          <w:rFonts w:hint="eastAsia"/>
        </w:rPr>
        <w:t>项目</w:t>
      </w:r>
      <w:r>
        <w:t>建设工作，完成本项目的</w:t>
      </w:r>
      <w:r>
        <w:rPr>
          <w:rFonts w:hint="eastAsia"/>
          <w:lang w:val="en-US" w:eastAsia="zh-CN"/>
        </w:rPr>
        <w:t>运维</w:t>
      </w:r>
      <w:r>
        <w:t>工作并达成项目目标，</w:t>
      </w:r>
      <w:r>
        <w:rPr>
          <w:rFonts w:hint="default"/>
        </w:rPr>
        <w:t>确保所建设的</w:t>
      </w:r>
      <w:r>
        <w:rPr>
          <w:rFonts w:hint="eastAsia"/>
          <w:lang w:val="en-US" w:eastAsia="zh-CN"/>
        </w:rPr>
        <w:t>流程运行稳定，运行结果准确无误，符合业务要求</w:t>
      </w:r>
      <w:r>
        <w:rPr>
          <w:rFonts w:hint="default"/>
        </w:rPr>
        <w:t>，完成项目成果交付以及知识移交</w:t>
      </w:r>
      <w:r>
        <w:t>。</w:t>
      </w:r>
    </w:p>
    <w:p>
      <w:pPr>
        <w:pStyle w:val="30"/>
        <w:numPr>
          <w:ilvl w:val="0"/>
          <w:numId w:val="11"/>
        </w:numPr>
        <w:ind w:firstLineChars="0"/>
        <w:rPr>
          <w:rFonts w:hint="default"/>
        </w:rPr>
      </w:pPr>
      <w:r>
        <w:t>达到服务期限约定时间。</w:t>
      </w:r>
    </w:p>
    <w:p>
      <w:pPr>
        <w:ind w:firstLine="480"/>
        <w:rPr>
          <w:rFonts w:hint="default"/>
          <w:color w:val="FF0000"/>
        </w:rPr>
      </w:pPr>
      <w:r>
        <w:t>上述各验收阶段均与付款直接相关，具体条款经甲乙双方商定后，体现在具体合同文本中。</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Univers">
    <w:altName w:val="Arial"/>
    <w:panose1 w:val="00000000000000000000"/>
    <w:charset w:val="00"/>
    <w:family w:val="swiss"/>
    <w:pitch w:val="default"/>
    <w:sig w:usb0="00000000" w:usb1="00000000" w:usb2="00000000" w:usb3="00000000" w:csb0="0000000F"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等线 Light">
    <w:panose1 w:val="02010600030101010101"/>
    <w:charset w:val="86"/>
    <w:family w:val="auto"/>
    <w:pitch w:val="default"/>
    <w:sig w:usb0="A00002BF" w:usb1="38CF7CFA" w:usb2="00000016" w:usb3="00000000" w:csb0="0004000F" w:csb1="00000000"/>
  </w:font>
  <w:font w:name="宋体常规">
    <w:altName w:val="宋体"/>
    <w:panose1 w:val="00000000000000000000"/>
    <w:charset w:val="86"/>
    <w:family w:val="roma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spacing w:before="120"/>
      <w:ind w:firstLine="360"/>
      <w:jc w:val="center"/>
      <w:rPr>
        <w:rFonts w:hint="default"/>
      </w:rPr>
    </w:pPr>
    <w:r>
      <w:fldChar w:fldCharType="begin"/>
    </w:r>
    <w:r>
      <w:instrText xml:space="preserve">PAGE   \* MERGEFORMAT</w:instrText>
    </w:r>
    <w:r>
      <w:fldChar w:fldCharType="separate"/>
    </w:r>
    <w:r>
      <w:rPr>
        <w:rFonts w:hint="default"/>
        <w:lang w:val="zh-CN"/>
      </w:rPr>
      <w:t>20</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rPr>
        <w:rFonts w:hint="defaul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400"/>
      <w:rPr>
        <w:rFonts w:hint="default" w:hAnsi="宋体"/>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rPr>
        <w:rFonts w:hint="defau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B756AA"/>
    <w:multiLevelType w:val="singleLevel"/>
    <w:tmpl w:val="97B756AA"/>
    <w:lvl w:ilvl="0" w:tentative="0">
      <w:start w:val="1"/>
      <w:numFmt w:val="decimal"/>
      <w:suff w:val="nothing"/>
      <w:lvlText w:val="%1、"/>
      <w:lvlJc w:val="left"/>
      <w:pPr>
        <w:ind w:left="760"/>
      </w:pPr>
    </w:lvl>
  </w:abstractNum>
  <w:abstractNum w:abstractNumId="1">
    <w:nsid w:val="EBAFE233"/>
    <w:multiLevelType w:val="multilevel"/>
    <w:tmpl w:val="EBAFE233"/>
    <w:lvl w:ilvl="0" w:tentative="0">
      <w:start w:val="1"/>
      <w:numFmt w:val="decimal"/>
      <w:pStyle w:val="7"/>
      <w:lvlText w:val="%1."/>
      <w:lvlJc w:val="left"/>
      <w:pPr>
        <w:ind w:left="425" w:hanging="425"/>
      </w:pPr>
      <w:rPr>
        <w:rFonts w:hint="default"/>
      </w:rPr>
    </w:lvl>
    <w:lvl w:ilvl="1" w:tentative="0">
      <w:start w:val="1"/>
      <w:numFmt w:val="decimal"/>
      <w:lvlText w:val="%1.%2."/>
      <w:lvlJc w:val="left"/>
      <w:pPr>
        <w:ind w:left="850"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2">
    <w:nsid w:val="F18E4390"/>
    <w:multiLevelType w:val="singleLevel"/>
    <w:tmpl w:val="F18E4390"/>
    <w:lvl w:ilvl="0" w:tentative="0">
      <w:start w:val="1"/>
      <w:numFmt w:val="chineseCounting"/>
      <w:suff w:val="nothing"/>
      <w:lvlText w:val="（%1）"/>
      <w:lvlJc w:val="left"/>
      <w:rPr>
        <w:rFonts w:hint="eastAsia"/>
      </w:rPr>
    </w:lvl>
  </w:abstractNum>
  <w:abstractNum w:abstractNumId="3">
    <w:nsid w:val="0CF3055C"/>
    <w:multiLevelType w:val="singleLevel"/>
    <w:tmpl w:val="0CF3055C"/>
    <w:lvl w:ilvl="0" w:tentative="0">
      <w:start w:val="1"/>
      <w:numFmt w:val="chineseCounting"/>
      <w:suff w:val="nothing"/>
      <w:lvlText w:val="(%1）"/>
      <w:lvlJc w:val="left"/>
      <w:rPr>
        <w:rFonts w:hint="eastAsia"/>
      </w:rPr>
    </w:lvl>
  </w:abstractNum>
  <w:abstractNum w:abstractNumId="4">
    <w:nsid w:val="13903B02"/>
    <w:multiLevelType w:val="multilevel"/>
    <w:tmpl w:val="13903B02"/>
    <w:lvl w:ilvl="0" w:tentative="0">
      <w:start w:val="1"/>
      <w:numFmt w:val="bullet"/>
      <w:lvlText w:val=""/>
      <w:lvlJc w:val="left"/>
      <w:pPr>
        <w:ind w:left="420" w:hanging="420"/>
      </w:pPr>
      <w:rPr>
        <w:rFonts w:hint="default" w:ascii="Wingdings" w:hAnsi="Wingdings" w:eastAsia="宋体"/>
        <w:u w:val="none"/>
      </w:rPr>
    </w:lvl>
    <w:lvl w:ilvl="1" w:tentative="0">
      <w:start w:val="1"/>
      <w:numFmt w:val="bullet"/>
      <w:lvlText w:val=""/>
      <w:lvlJc w:val="left"/>
      <w:pPr>
        <w:ind w:left="840" w:hanging="420"/>
      </w:pPr>
      <w:rPr>
        <w:rFonts w:hint="default" w:ascii="Wingdings" w:hAnsi="Wingdings" w:eastAsia="宋体"/>
        <w:u w:val="none"/>
      </w:rPr>
    </w:lvl>
    <w:lvl w:ilvl="2" w:tentative="0">
      <w:start w:val="1"/>
      <w:numFmt w:val="bullet"/>
      <w:lvlText w:val=""/>
      <w:lvlJc w:val="left"/>
      <w:pPr>
        <w:ind w:left="1260" w:hanging="420"/>
      </w:pPr>
      <w:rPr>
        <w:rFonts w:hint="default" w:ascii="Wingdings" w:hAnsi="Wingdings" w:eastAsia="宋体"/>
        <w:u w:val="none"/>
      </w:rPr>
    </w:lvl>
    <w:lvl w:ilvl="3" w:tentative="0">
      <w:start w:val="1"/>
      <w:numFmt w:val="bullet"/>
      <w:lvlText w:val=""/>
      <w:lvlJc w:val="left"/>
      <w:pPr>
        <w:ind w:left="1680" w:hanging="420"/>
      </w:pPr>
      <w:rPr>
        <w:rFonts w:hint="default" w:ascii="Wingdings" w:hAnsi="Wingdings" w:eastAsia="宋体"/>
        <w:u w:val="none"/>
      </w:rPr>
    </w:lvl>
    <w:lvl w:ilvl="4" w:tentative="0">
      <w:start w:val="1"/>
      <w:numFmt w:val="bullet"/>
      <w:lvlText w:val=""/>
      <w:lvlJc w:val="left"/>
      <w:pPr>
        <w:ind w:left="2100" w:hanging="420"/>
      </w:pPr>
      <w:rPr>
        <w:rFonts w:hint="default" w:ascii="Wingdings" w:hAnsi="Wingdings" w:eastAsia="宋体"/>
        <w:u w:val="none"/>
      </w:rPr>
    </w:lvl>
    <w:lvl w:ilvl="5" w:tentative="0">
      <w:start w:val="1"/>
      <w:numFmt w:val="bullet"/>
      <w:lvlText w:val=""/>
      <w:lvlJc w:val="left"/>
      <w:pPr>
        <w:ind w:left="2520" w:hanging="420"/>
      </w:pPr>
      <w:rPr>
        <w:rFonts w:hint="default" w:ascii="Wingdings" w:hAnsi="Wingdings" w:eastAsia="宋体"/>
        <w:u w:val="none"/>
      </w:rPr>
    </w:lvl>
    <w:lvl w:ilvl="6" w:tentative="0">
      <w:start w:val="1"/>
      <w:numFmt w:val="bullet"/>
      <w:lvlText w:val=""/>
      <w:lvlJc w:val="left"/>
      <w:pPr>
        <w:ind w:left="2940" w:hanging="420"/>
      </w:pPr>
      <w:rPr>
        <w:rFonts w:hint="default" w:ascii="Wingdings" w:hAnsi="Wingdings" w:eastAsia="宋体"/>
        <w:u w:val="none"/>
      </w:rPr>
    </w:lvl>
    <w:lvl w:ilvl="7" w:tentative="0">
      <w:start w:val="1"/>
      <w:numFmt w:val="bullet"/>
      <w:lvlText w:val=""/>
      <w:lvlJc w:val="left"/>
      <w:pPr>
        <w:ind w:left="3360" w:hanging="420"/>
      </w:pPr>
      <w:rPr>
        <w:rFonts w:hint="default" w:ascii="Wingdings" w:hAnsi="Wingdings" w:eastAsia="宋体"/>
        <w:u w:val="none"/>
      </w:rPr>
    </w:lvl>
    <w:lvl w:ilvl="8" w:tentative="0">
      <w:start w:val="1"/>
      <w:numFmt w:val="bullet"/>
      <w:lvlText w:val=""/>
      <w:lvlJc w:val="left"/>
      <w:pPr>
        <w:ind w:left="3780" w:hanging="420"/>
      </w:pPr>
      <w:rPr>
        <w:rFonts w:hint="default" w:ascii="Wingdings" w:hAnsi="Wingdings" w:eastAsia="宋体"/>
        <w:u w:val="none"/>
      </w:rPr>
    </w:lvl>
  </w:abstractNum>
  <w:abstractNum w:abstractNumId="5">
    <w:nsid w:val="1D319977"/>
    <w:multiLevelType w:val="singleLevel"/>
    <w:tmpl w:val="1D319977"/>
    <w:lvl w:ilvl="0" w:tentative="0">
      <w:start w:val="2"/>
      <w:numFmt w:val="chineseCounting"/>
      <w:suff w:val="nothing"/>
      <w:lvlText w:val="（%1）"/>
      <w:lvlJc w:val="left"/>
      <w:rPr>
        <w:rFonts w:hint="eastAsia"/>
      </w:rPr>
    </w:lvl>
  </w:abstractNum>
  <w:abstractNum w:abstractNumId="6">
    <w:nsid w:val="24F74508"/>
    <w:multiLevelType w:val="multilevel"/>
    <w:tmpl w:val="24F74508"/>
    <w:lvl w:ilvl="0" w:tentative="0">
      <w:start w:val="1"/>
      <w:numFmt w:val="chineseCountingThousand"/>
      <w:pStyle w:val="4"/>
      <w:lvlText w:val="第%1章"/>
      <w:lvlJc w:val="left"/>
      <w:pPr>
        <w:ind w:left="432" w:hanging="432"/>
      </w:pPr>
      <w:rPr>
        <w:rFonts w:hint="default"/>
        <w:u w:val="none"/>
        <w:lang w:val="en-US"/>
      </w:rPr>
    </w:lvl>
    <w:lvl w:ilvl="1" w:tentative="0">
      <w:start w:val="1"/>
      <w:numFmt w:val="decimal"/>
      <w:pStyle w:val="5"/>
      <w:isLgl/>
      <w:lvlText w:val="%1.%2"/>
      <w:lvlJc w:val="left"/>
      <w:pPr>
        <w:ind w:left="576" w:hanging="576"/>
      </w:pPr>
      <w:rPr>
        <w:rFonts w:hint="eastAsia" w:ascii="宋体" w:hAnsi="宋体" w:eastAsia="宋体"/>
        <w:b/>
        <w:u w:val="none"/>
      </w:rPr>
    </w:lvl>
    <w:lvl w:ilvl="2" w:tentative="0">
      <w:start w:val="1"/>
      <w:numFmt w:val="decimal"/>
      <w:pStyle w:val="6"/>
      <w:isLgl/>
      <w:lvlText w:val="%1.%2.%3"/>
      <w:lvlJc w:val="left"/>
      <w:pPr>
        <w:ind w:left="1995" w:hanging="720"/>
      </w:pPr>
      <w:rPr>
        <w:rFonts w:hint="default"/>
        <w:b/>
        <w:color w:val="auto"/>
        <w:u w:val="none"/>
      </w:rPr>
    </w:lvl>
    <w:lvl w:ilvl="3" w:tentative="0">
      <w:start w:val="1"/>
      <w:numFmt w:val="decimal"/>
      <w:isLgl/>
      <w:lvlText w:val="%1.%2.%3.%4"/>
      <w:lvlJc w:val="left"/>
      <w:pPr>
        <w:ind w:left="864" w:hanging="864"/>
      </w:pPr>
      <w:rPr>
        <w:rFonts w:hint="default"/>
        <w:u w:val="none"/>
      </w:rPr>
    </w:lvl>
    <w:lvl w:ilvl="4" w:tentative="0">
      <w:start w:val="1"/>
      <w:numFmt w:val="decimal"/>
      <w:isLgl/>
      <w:lvlText w:val="%1.%2.%3.%4.%5"/>
      <w:lvlJc w:val="left"/>
      <w:pPr>
        <w:ind w:left="1575" w:hanging="1008"/>
      </w:pPr>
      <w:rPr>
        <w:rFonts w:hint="default"/>
        <w:color w:val="000000"/>
        <w:u w:val="none" w:color="000000"/>
      </w:rPr>
    </w:lvl>
    <w:lvl w:ilvl="5" w:tentative="0">
      <w:start w:val="1"/>
      <w:numFmt w:val="decimal"/>
      <w:isLgl/>
      <w:lvlText w:val="%1.%2.%3.%4.%5.%6"/>
      <w:lvlJc w:val="left"/>
      <w:pPr>
        <w:ind w:left="1152" w:hanging="1152"/>
      </w:pPr>
      <w:rPr>
        <w:rFonts w:hint="default"/>
        <w:u w:val="none"/>
      </w:rPr>
    </w:lvl>
    <w:lvl w:ilvl="6" w:tentative="0">
      <w:start w:val="1"/>
      <w:numFmt w:val="decimal"/>
      <w:isLgl/>
      <w:lvlText w:val="%1.%2.%3.%4.%5.%6.%7"/>
      <w:lvlJc w:val="left"/>
      <w:pPr>
        <w:ind w:left="1296" w:hanging="1296"/>
      </w:pPr>
      <w:rPr>
        <w:rFonts w:hint="default"/>
        <w:u w:val="none"/>
      </w:rPr>
    </w:lvl>
    <w:lvl w:ilvl="7" w:tentative="0">
      <w:start w:val="1"/>
      <w:numFmt w:val="decimal"/>
      <w:isLgl/>
      <w:lvlText w:val="%1.%2.%3.%4.%5.%6.%7.%8"/>
      <w:lvlJc w:val="left"/>
      <w:pPr>
        <w:ind w:left="1440" w:hanging="1440"/>
      </w:pPr>
      <w:rPr>
        <w:rFonts w:hint="default"/>
        <w:u w:val="none"/>
      </w:rPr>
    </w:lvl>
    <w:lvl w:ilvl="8" w:tentative="0">
      <w:start w:val="1"/>
      <w:numFmt w:val="decimal"/>
      <w:isLgl/>
      <w:lvlText w:val="%1.%2.%3.%4.%5.%6.%7.%8.%9"/>
      <w:lvlJc w:val="left"/>
      <w:pPr>
        <w:ind w:left="1584" w:hanging="1584"/>
      </w:pPr>
      <w:rPr>
        <w:rFonts w:hint="default"/>
        <w:u w:val="none"/>
      </w:rPr>
    </w:lvl>
  </w:abstractNum>
  <w:abstractNum w:abstractNumId="7">
    <w:nsid w:val="2D8F00A5"/>
    <w:multiLevelType w:val="multilevel"/>
    <w:tmpl w:val="2D8F00A5"/>
    <w:lvl w:ilvl="0" w:tentative="0">
      <w:start w:val="1"/>
      <w:numFmt w:val="decimal"/>
      <w:lvlText w:val="%1)"/>
      <w:lvlJc w:val="left"/>
      <w:pPr>
        <w:ind w:left="900" w:hanging="420"/>
      </w:pPr>
      <w:rPr>
        <w:rFonts w:hint="default"/>
        <w:u w:val="none"/>
      </w:rPr>
    </w:lvl>
    <w:lvl w:ilvl="1" w:tentative="0">
      <w:start w:val="1"/>
      <w:numFmt w:val="lowerLetter"/>
      <w:lvlText w:val="%2)"/>
      <w:lvlJc w:val="left"/>
      <w:pPr>
        <w:ind w:left="1320" w:hanging="420"/>
      </w:pPr>
      <w:rPr>
        <w:rFonts w:hint="default"/>
        <w:u w:val="none"/>
      </w:rPr>
    </w:lvl>
    <w:lvl w:ilvl="2" w:tentative="0">
      <w:start w:val="1"/>
      <w:numFmt w:val="lowerRoman"/>
      <w:lvlText w:val="%3."/>
      <w:lvlJc w:val="right"/>
      <w:pPr>
        <w:ind w:left="1740" w:hanging="420"/>
      </w:pPr>
      <w:rPr>
        <w:rFonts w:hint="default"/>
        <w:u w:val="none"/>
      </w:rPr>
    </w:lvl>
    <w:lvl w:ilvl="3" w:tentative="0">
      <w:start w:val="1"/>
      <w:numFmt w:val="decimal"/>
      <w:lvlText w:val="%4."/>
      <w:lvlJc w:val="left"/>
      <w:pPr>
        <w:ind w:left="2160" w:hanging="420"/>
      </w:pPr>
      <w:rPr>
        <w:rFonts w:hint="default"/>
        <w:u w:val="none"/>
      </w:rPr>
    </w:lvl>
    <w:lvl w:ilvl="4" w:tentative="0">
      <w:start w:val="1"/>
      <w:numFmt w:val="lowerLetter"/>
      <w:lvlText w:val="%5)"/>
      <w:lvlJc w:val="left"/>
      <w:pPr>
        <w:ind w:left="2580" w:hanging="420"/>
      </w:pPr>
      <w:rPr>
        <w:rFonts w:hint="default"/>
        <w:u w:val="none"/>
      </w:rPr>
    </w:lvl>
    <w:lvl w:ilvl="5" w:tentative="0">
      <w:start w:val="1"/>
      <w:numFmt w:val="lowerRoman"/>
      <w:lvlText w:val="%6."/>
      <w:lvlJc w:val="right"/>
      <w:pPr>
        <w:ind w:left="3000" w:hanging="420"/>
      </w:pPr>
      <w:rPr>
        <w:rFonts w:hint="default"/>
        <w:u w:val="none"/>
      </w:rPr>
    </w:lvl>
    <w:lvl w:ilvl="6" w:tentative="0">
      <w:start w:val="1"/>
      <w:numFmt w:val="decimal"/>
      <w:lvlText w:val="%7."/>
      <w:lvlJc w:val="left"/>
      <w:pPr>
        <w:ind w:left="3420" w:hanging="420"/>
      </w:pPr>
      <w:rPr>
        <w:rFonts w:hint="default"/>
        <w:u w:val="none"/>
      </w:rPr>
    </w:lvl>
    <w:lvl w:ilvl="7" w:tentative="0">
      <w:start w:val="1"/>
      <w:numFmt w:val="lowerLetter"/>
      <w:lvlText w:val="%8)"/>
      <w:lvlJc w:val="left"/>
      <w:pPr>
        <w:ind w:left="3840" w:hanging="420"/>
      </w:pPr>
      <w:rPr>
        <w:rFonts w:hint="default"/>
        <w:u w:val="none"/>
      </w:rPr>
    </w:lvl>
    <w:lvl w:ilvl="8" w:tentative="0">
      <w:start w:val="1"/>
      <w:numFmt w:val="lowerRoman"/>
      <w:lvlText w:val="%9."/>
      <w:lvlJc w:val="right"/>
      <w:pPr>
        <w:ind w:left="4260" w:hanging="420"/>
      </w:pPr>
      <w:rPr>
        <w:rFonts w:hint="default"/>
        <w:u w:val="none"/>
      </w:rPr>
    </w:lvl>
  </w:abstractNum>
  <w:abstractNum w:abstractNumId="8">
    <w:nsid w:val="3F2414FF"/>
    <w:multiLevelType w:val="multilevel"/>
    <w:tmpl w:val="3F2414FF"/>
    <w:lvl w:ilvl="0" w:tentative="0">
      <w:start w:val="1"/>
      <w:numFmt w:val="bullet"/>
      <w:lvlText w:val=""/>
      <w:lvlJc w:val="left"/>
      <w:pPr>
        <w:ind w:left="1320" w:hanging="420"/>
      </w:pPr>
      <w:rPr>
        <w:rFonts w:hint="default" w:ascii="Wingdings" w:hAnsi="Wingdings" w:eastAsia="宋体"/>
        <w:u w:val="none"/>
      </w:rPr>
    </w:lvl>
    <w:lvl w:ilvl="1" w:tentative="0">
      <w:start w:val="1"/>
      <w:numFmt w:val="bullet"/>
      <w:lvlText w:val=""/>
      <w:lvlJc w:val="left"/>
      <w:pPr>
        <w:ind w:left="1740" w:hanging="420"/>
      </w:pPr>
      <w:rPr>
        <w:rFonts w:hint="default" w:ascii="Wingdings" w:hAnsi="Wingdings" w:eastAsia="宋体"/>
        <w:u w:val="none"/>
      </w:rPr>
    </w:lvl>
    <w:lvl w:ilvl="2" w:tentative="0">
      <w:start w:val="1"/>
      <w:numFmt w:val="bullet"/>
      <w:lvlText w:val=""/>
      <w:lvlJc w:val="left"/>
      <w:pPr>
        <w:ind w:left="2160" w:hanging="420"/>
      </w:pPr>
      <w:rPr>
        <w:rFonts w:hint="default" w:ascii="Wingdings" w:hAnsi="Wingdings" w:eastAsia="宋体"/>
        <w:u w:val="none"/>
      </w:rPr>
    </w:lvl>
    <w:lvl w:ilvl="3" w:tentative="0">
      <w:start w:val="1"/>
      <w:numFmt w:val="bullet"/>
      <w:lvlText w:val=""/>
      <w:lvlJc w:val="left"/>
      <w:pPr>
        <w:ind w:left="2580" w:hanging="420"/>
      </w:pPr>
      <w:rPr>
        <w:rFonts w:hint="default" w:ascii="Wingdings" w:hAnsi="Wingdings" w:eastAsia="宋体"/>
        <w:u w:val="none"/>
      </w:rPr>
    </w:lvl>
    <w:lvl w:ilvl="4" w:tentative="0">
      <w:start w:val="1"/>
      <w:numFmt w:val="bullet"/>
      <w:lvlText w:val=""/>
      <w:lvlJc w:val="left"/>
      <w:pPr>
        <w:ind w:left="3000" w:hanging="420"/>
      </w:pPr>
      <w:rPr>
        <w:rFonts w:hint="default" w:ascii="Wingdings" w:hAnsi="Wingdings" w:eastAsia="宋体"/>
        <w:u w:val="none"/>
      </w:rPr>
    </w:lvl>
    <w:lvl w:ilvl="5" w:tentative="0">
      <w:start w:val="1"/>
      <w:numFmt w:val="bullet"/>
      <w:lvlText w:val=""/>
      <w:lvlJc w:val="left"/>
      <w:pPr>
        <w:ind w:left="3420" w:hanging="420"/>
      </w:pPr>
      <w:rPr>
        <w:rFonts w:hint="default" w:ascii="Wingdings" w:hAnsi="Wingdings" w:eastAsia="宋体"/>
        <w:u w:val="none"/>
      </w:rPr>
    </w:lvl>
    <w:lvl w:ilvl="6" w:tentative="0">
      <w:start w:val="1"/>
      <w:numFmt w:val="bullet"/>
      <w:lvlText w:val=""/>
      <w:lvlJc w:val="left"/>
      <w:pPr>
        <w:ind w:left="3840" w:hanging="420"/>
      </w:pPr>
      <w:rPr>
        <w:rFonts w:hint="default" w:ascii="Wingdings" w:hAnsi="Wingdings" w:eastAsia="宋体"/>
        <w:u w:val="none"/>
      </w:rPr>
    </w:lvl>
    <w:lvl w:ilvl="7" w:tentative="0">
      <w:start w:val="1"/>
      <w:numFmt w:val="bullet"/>
      <w:lvlText w:val=""/>
      <w:lvlJc w:val="left"/>
      <w:pPr>
        <w:ind w:left="4260" w:hanging="420"/>
      </w:pPr>
      <w:rPr>
        <w:rFonts w:hint="default" w:ascii="Wingdings" w:hAnsi="Wingdings" w:eastAsia="宋体"/>
        <w:u w:val="none"/>
      </w:rPr>
    </w:lvl>
    <w:lvl w:ilvl="8" w:tentative="0">
      <w:start w:val="1"/>
      <w:numFmt w:val="bullet"/>
      <w:lvlText w:val=""/>
      <w:lvlJc w:val="left"/>
      <w:pPr>
        <w:ind w:left="4680" w:hanging="420"/>
      </w:pPr>
      <w:rPr>
        <w:rFonts w:hint="default" w:ascii="Wingdings" w:hAnsi="Wingdings" w:eastAsia="宋体"/>
        <w:u w:val="none"/>
      </w:rPr>
    </w:lvl>
  </w:abstractNum>
  <w:abstractNum w:abstractNumId="9">
    <w:nsid w:val="65640412"/>
    <w:multiLevelType w:val="multilevel"/>
    <w:tmpl w:val="65640412"/>
    <w:lvl w:ilvl="0" w:tentative="0">
      <w:start w:val="1"/>
      <w:numFmt w:val="bullet"/>
      <w:lvlText w:val=""/>
      <w:lvlJc w:val="left"/>
      <w:pPr>
        <w:ind w:left="846" w:hanging="420"/>
      </w:pPr>
      <w:rPr>
        <w:rFonts w:hint="default" w:ascii="Wingdings" w:hAnsi="Wingdings" w:eastAsia="宋体"/>
        <w:u w:val="none"/>
      </w:rPr>
    </w:lvl>
    <w:lvl w:ilvl="1" w:tentative="0">
      <w:start w:val="1"/>
      <w:numFmt w:val="lowerLetter"/>
      <w:lvlText w:val="%2)"/>
      <w:lvlJc w:val="left"/>
      <w:pPr>
        <w:ind w:left="1266" w:hanging="420"/>
      </w:pPr>
      <w:rPr>
        <w:rFonts w:hint="default"/>
        <w:u w:val="none"/>
      </w:rPr>
    </w:lvl>
    <w:lvl w:ilvl="2" w:tentative="0">
      <w:start w:val="1"/>
      <w:numFmt w:val="lowerRoman"/>
      <w:lvlText w:val="%3."/>
      <w:lvlJc w:val="right"/>
      <w:pPr>
        <w:ind w:left="1686" w:hanging="420"/>
      </w:pPr>
      <w:rPr>
        <w:rFonts w:hint="default"/>
        <w:u w:val="none"/>
      </w:rPr>
    </w:lvl>
    <w:lvl w:ilvl="3" w:tentative="0">
      <w:start w:val="1"/>
      <w:numFmt w:val="decimal"/>
      <w:lvlText w:val="%4."/>
      <w:lvlJc w:val="left"/>
      <w:pPr>
        <w:ind w:left="2106" w:hanging="420"/>
      </w:pPr>
      <w:rPr>
        <w:rFonts w:hint="default"/>
        <w:u w:val="none"/>
      </w:rPr>
    </w:lvl>
    <w:lvl w:ilvl="4" w:tentative="0">
      <w:start w:val="1"/>
      <w:numFmt w:val="lowerLetter"/>
      <w:lvlText w:val="%5)"/>
      <w:lvlJc w:val="left"/>
      <w:pPr>
        <w:ind w:left="2526" w:hanging="420"/>
      </w:pPr>
      <w:rPr>
        <w:rFonts w:hint="default"/>
        <w:u w:val="none"/>
      </w:rPr>
    </w:lvl>
    <w:lvl w:ilvl="5" w:tentative="0">
      <w:start w:val="1"/>
      <w:numFmt w:val="lowerRoman"/>
      <w:lvlText w:val="%6."/>
      <w:lvlJc w:val="right"/>
      <w:pPr>
        <w:ind w:left="2946" w:hanging="420"/>
      </w:pPr>
      <w:rPr>
        <w:rFonts w:hint="default"/>
        <w:u w:val="none"/>
      </w:rPr>
    </w:lvl>
    <w:lvl w:ilvl="6" w:tentative="0">
      <w:start w:val="1"/>
      <w:numFmt w:val="decimal"/>
      <w:lvlText w:val="%7."/>
      <w:lvlJc w:val="left"/>
      <w:pPr>
        <w:ind w:left="3366" w:hanging="420"/>
      </w:pPr>
      <w:rPr>
        <w:rFonts w:hint="default"/>
        <w:u w:val="none"/>
      </w:rPr>
    </w:lvl>
    <w:lvl w:ilvl="7" w:tentative="0">
      <w:start w:val="1"/>
      <w:numFmt w:val="lowerLetter"/>
      <w:lvlText w:val="%8)"/>
      <w:lvlJc w:val="left"/>
      <w:pPr>
        <w:ind w:left="3786" w:hanging="420"/>
      </w:pPr>
      <w:rPr>
        <w:rFonts w:hint="default"/>
        <w:u w:val="none"/>
      </w:rPr>
    </w:lvl>
    <w:lvl w:ilvl="8" w:tentative="0">
      <w:start w:val="1"/>
      <w:numFmt w:val="lowerRoman"/>
      <w:lvlText w:val="%9."/>
      <w:lvlJc w:val="right"/>
      <w:pPr>
        <w:ind w:left="4206" w:hanging="420"/>
      </w:pPr>
      <w:rPr>
        <w:rFonts w:hint="default"/>
        <w:u w:val="none"/>
      </w:rPr>
    </w:lvl>
  </w:abstractNum>
  <w:abstractNum w:abstractNumId="10">
    <w:nsid w:val="6BC068C7"/>
    <w:multiLevelType w:val="multilevel"/>
    <w:tmpl w:val="6BC068C7"/>
    <w:lvl w:ilvl="0" w:tentative="0">
      <w:start w:val="1"/>
      <w:numFmt w:val="bullet"/>
      <w:lvlText w:val=""/>
      <w:lvlJc w:val="left"/>
      <w:pPr>
        <w:ind w:left="1260" w:hanging="420"/>
      </w:pPr>
      <w:rPr>
        <w:rFonts w:hint="default" w:ascii="Wingdings" w:hAnsi="Wingdings" w:eastAsia="宋体"/>
        <w:u w:val="none"/>
      </w:rPr>
    </w:lvl>
    <w:lvl w:ilvl="1" w:tentative="0">
      <w:start w:val="1"/>
      <w:numFmt w:val="bullet"/>
      <w:lvlText w:val=""/>
      <w:lvlJc w:val="left"/>
      <w:pPr>
        <w:ind w:left="1680" w:hanging="420"/>
      </w:pPr>
      <w:rPr>
        <w:rFonts w:hint="default" w:ascii="Wingdings" w:hAnsi="Wingdings" w:eastAsia="宋体"/>
        <w:u w:val="none"/>
      </w:rPr>
    </w:lvl>
    <w:lvl w:ilvl="2" w:tentative="0">
      <w:start w:val="1"/>
      <w:numFmt w:val="bullet"/>
      <w:lvlText w:val=""/>
      <w:lvlJc w:val="left"/>
      <w:pPr>
        <w:ind w:left="2100" w:hanging="420"/>
      </w:pPr>
      <w:rPr>
        <w:rFonts w:hint="default" w:ascii="Wingdings" w:hAnsi="Wingdings" w:eastAsia="宋体"/>
        <w:u w:val="none"/>
      </w:rPr>
    </w:lvl>
    <w:lvl w:ilvl="3" w:tentative="0">
      <w:start w:val="1"/>
      <w:numFmt w:val="bullet"/>
      <w:lvlText w:val=""/>
      <w:lvlJc w:val="left"/>
      <w:pPr>
        <w:ind w:left="2520" w:hanging="420"/>
      </w:pPr>
      <w:rPr>
        <w:rFonts w:hint="default" w:ascii="Wingdings" w:hAnsi="Wingdings" w:eastAsia="宋体"/>
        <w:u w:val="none"/>
      </w:rPr>
    </w:lvl>
    <w:lvl w:ilvl="4" w:tentative="0">
      <w:start w:val="1"/>
      <w:numFmt w:val="bullet"/>
      <w:lvlText w:val=""/>
      <w:lvlJc w:val="left"/>
      <w:pPr>
        <w:ind w:left="2940" w:hanging="420"/>
      </w:pPr>
      <w:rPr>
        <w:rFonts w:hint="default" w:ascii="Wingdings" w:hAnsi="Wingdings" w:eastAsia="宋体"/>
        <w:u w:val="none"/>
      </w:rPr>
    </w:lvl>
    <w:lvl w:ilvl="5" w:tentative="0">
      <w:start w:val="1"/>
      <w:numFmt w:val="bullet"/>
      <w:lvlText w:val=""/>
      <w:lvlJc w:val="left"/>
      <w:pPr>
        <w:ind w:left="3360" w:hanging="420"/>
      </w:pPr>
      <w:rPr>
        <w:rFonts w:hint="default" w:ascii="Wingdings" w:hAnsi="Wingdings" w:eastAsia="宋体"/>
        <w:u w:val="none"/>
      </w:rPr>
    </w:lvl>
    <w:lvl w:ilvl="6" w:tentative="0">
      <w:start w:val="1"/>
      <w:numFmt w:val="bullet"/>
      <w:lvlText w:val=""/>
      <w:lvlJc w:val="left"/>
      <w:pPr>
        <w:ind w:left="3780" w:hanging="420"/>
      </w:pPr>
      <w:rPr>
        <w:rFonts w:hint="default" w:ascii="Wingdings" w:hAnsi="Wingdings" w:eastAsia="宋体"/>
        <w:u w:val="none"/>
      </w:rPr>
    </w:lvl>
    <w:lvl w:ilvl="7" w:tentative="0">
      <w:start w:val="1"/>
      <w:numFmt w:val="bullet"/>
      <w:lvlText w:val=""/>
      <w:lvlJc w:val="left"/>
      <w:pPr>
        <w:ind w:left="4200" w:hanging="420"/>
      </w:pPr>
      <w:rPr>
        <w:rFonts w:hint="default" w:ascii="Wingdings" w:hAnsi="Wingdings" w:eastAsia="宋体"/>
        <w:u w:val="none"/>
      </w:rPr>
    </w:lvl>
    <w:lvl w:ilvl="8" w:tentative="0">
      <w:start w:val="1"/>
      <w:numFmt w:val="bullet"/>
      <w:lvlText w:val=""/>
      <w:lvlJc w:val="left"/>
      <w:pPr>
        <w:ind w:left="4620" w:hanging="420"/>
      </w:pPr>
      <w:rPr>
        <w:rFonts w:hint="default" w:ascii="Wingdings" w:hAnsi="Wingdings" w:eastAsia="宋体"/>
        <w:u w:val="none"/>
      </w:rPr>
    </w:lvl>
  </w:abstractNum>
  <w:num w:numId="1">
    <w:abstractNumId w:val="6"/>
  </w:num>
  <w:num w:numId="2">
    <w:abstractNumId w:val="1"/>
  </w:num>
  <w:num w:numId="3">
    <w:abstractNumId w:val="2"/>
  </w:num>
  <w:num w:numId="4">
    <w:abstractNumId w:val="3"/>
  </w:num>
  <w:num w:numId="5">
    <w:abstractNumId w:val="0"/>
  </w:num>
  <w:num w:numId="6">
    <w:abstractNumId w:val="9"/>
  </w:num>
  <w:num w:numId="7">
    <w:abstractNumId w:val="7"/>
  </w:num>
  <w:num w:numId="8">
    <w:abstractNumId w:val="10"/>
  </w:num>
  <w:num w:numId="9">
    <w:abstractNumId w:val="8"/>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EzYzJjMjMwNjVhYmZjNDI0NmY5NGNjMjljOGNlMWMifQ=="/>
  </w:docVars>
  <w:rsids>
    <w:rsidRoot w:val="00172A27"/>
    <w:rsid w:val="00001B28"/>
    <w:rsid w:val="00002DD8"/>
    <w:rsid w:val="000037F7"/>
    <w:rsid w:val="00006BD2"/>
    <w:rsid w:val="00013797"/>
    <w:rsid w:val="00027D0F"/>
    <w:rsid w:val="00045E62"/>
    <w:rsid w:val="00051465"/>
    <w:rsid w:val="00065BC2"/>
    <w:rsid w:val="000A23AC"/>
    <w:rsid w:val="000A4B22"/>
    <w:rsid w:val="000C506F"/>
    <w:rsid w:val="000E48D3"/>
    <w:rsid w:val="000F6516"/>
    <w:rsid w:val="00137FCA"/>
    <w:rsid w:val="001652BE"/>
    <w:rsid w:val="00170DDA"/>
    <w:rsid w:val="0017131E"/>
    <w:rsid w:val="00172A27"/>
    <w:rsid w:val="00195FBB"/>
    <w:rsid w:val="001B6562"/>
    <w:rsid w:val="001F0770"/>
    <w:rsid w:val="002353F1"/>
    <w:rsid w:val="00242880"/>
    <w:rsid w:val="00256FCA"/>
    <w:rsid w:val="00272190"/>
    <w:rsid w:val="00293311"/>
    <w:rsid w:val="002C497A"/>
    <w:rsid w:val="002D64A1"/>
    <w:rsid w:val="002F1275"/>
    <w:rsid w:val="00300D02"/>
    <w:rsid w:val="00336B98"/>
    <w:rsid w:val="0034475E"/>
    <w:rsid w:val="0038667A"/>
    <w:rsid w:val="00386F3E"/>
    <w:rsid w:val="003A2F6A"/>
    <w:rsid w:val="003A3C74"/>
    <w:rsid w:val="003C11B2"/>
    <w:rsid w:val="003C4CE9"/>
    <w:rsid w:val="003C7C01"/>
    <w:rsid w:val="00482428"/>
    <w:rsid w:val="004A530A"/>
    <w:rsid w:val="004B1C95"/>
    <w:rsid w:val="004C3D74"/>
    <w:rsid w:val="004C5511"/>
    <w:rsid w:val="004E4775"/>
    <w:rsid w:val="005236C1"/>
    <w:rsid w:val="00535ADF"/>
    <w:rsid w:val="00541409"/>
    <w:rsid w:val="00545265"/>
    <w:rsid w:val="005C0A2F"/>
    <w:rsid w:val="005D3D5B"/>
    <w:rsid w:val="005D7AA1"/>
    <w:rsid w:val="005E174C"/>
    <w:rsid w:val="005E4990"/>
    <w:rsid w:val="0062291D"/>
    <w:rsid w:val="00623FDD"/>
    <w:rsid w:val="00626590"/>
    <w:rsid w:val="00632088"/>
    <w:rsid w:val="00634295"/>
    <w:rsid w:val="006548B4"/>
    <w:rsid w:val="00661D79"/>
    <w:rsid w:val="0067117B"/>
    <w:rsid w:val="006977B2"/>
    <w:rsid w:val="006C16F0"/>
    <w:rsid w:val="006E0A21"/>
    <w:rsid w:val="006E14BD"/>
    <w:rsid w:val="0072472C"/>
    <w:rsid w:val="00740DC7"/>
    <w:rsid w:val="00775601"/>
    <w:rsid w:val="00780BD8"/>
    <w:rsid w:val="007C29AD"/>
    <w:rsid w:val="007E5768"/>
    <w:rsid w:val="007F6D6A"/>
    <w:rsid w:val="00827E44"/>
    <w:rsid w:val="0083555F"/>
    <w:rsid w:val="008521E3"/>
    <w:rsid w:val="00856C8A"/>
    <w:rsid w:val="008C49C5"/>
    <w:rsid w:val="008D49DE"/>
    <w:rsid w:val="00907807"/>
    <w:rsid w:val="00936F40"/>
    <w:rsid w:val="00942BE7"/>
    <w:rsid w:val="0096374C"/>
    <w:rsid w:val="0099157B"/>
    <w:rsid w:val="009C2925"/>
    <w:rsid w:val="009F138E"/>
    <w:rsid w:val="00A06DA4"/>
    <w:rsid w:val="00A06E87"/>
    <w:rsid w:val="00A23081"/>
    <w:rsid w:val="00A30C31"/>
    <w:rsid w:val="00A56E4D"/>
    <w:rsid w:val="00A65C9C"/>
    <w:rsid w:val="00A77F70"/>
    <w:rsid w:val="00A80330"/>
    <w:rsid w:val="00A81646"/>
    <w:rsid w:val="00A860CB"/>
    <w:rsid w:val="00A93D0A"/>
    <w:rsid w:val="00AC3C19"/>
    <w:rsid w:val="00AC55B1"/>
    <w:rsid w:val="00B249BB"/>
    <w:rsid w:val="00B30F68"/>
    <w:rsid w:val="00B32F2E"/>
    <w:rsid w:val="00B53D85"/>
    <w:rsid w:val="00B5759D"/>
    <w:rsid w:val="00B96DD2"/>
    <w:rsid w:val="00BA0749"/>
    <w:rsid w:val="00BB17A0"/>
    <w:rsid w:val="00BB7E40"/>
    <w:rsid w:val="00BD0474"/>
    <w:rsid w:val="00BD5FDF"/>
    <w:rsid w:val="00C10F5D"/>
    <w:rsid w:val="00C14B6D"/>
    <w:rsid w:val="00C23126"/>
    <w:rsid w:val="00C23214"/>
    <w:rsid w:val="00C32112"/>
    <w:rsid w:val="00C46CF1"/>
    <w:rsid w:val="00C544CD"/>
    <w:rsid w:val="00C54F25"/>
    <w:rsid w:val="00C64712"/>
    <w:rsid w:val="00C72EDD"/>
    <w:rsid w:val="00CA1A8F"/>
    <w:rsid w:val="00CC2B78"/>
    <w:rsid w:val="00CF5C07"/>
    <w:rsid w:val="00D30744"/>
    <w:rsid w:val="00D33ACE"/>
    <w:rsid w:val="00D65A2D"/>
    <w:rsid w:val="00D742D7"/>
    <w:rsid w:val="00D74E01"/>
    <w:rsid w:val="00D926AE"/>
    <w:rsid w:val="00DB3D98"/>
    <w:rsid w:val="00DF4313"/>
    <w:rsid w:val="00E36E52"/>
    <w:rsid w:val="00E80DAC"/>
    <w:rsid w:val="00EB3F86"/>
    <w:rsid w:val="00EC6A40"/>
    <w:rsid w:val="00ED3210"/>
    <w:rsid w:val="00ED6207"/>
    <w:rsid w:val="00F07CCF"/>
    <w:rsid w:val="00F10AC3"/>
    <w:rsid w:val="00F82CFD"/>
    <w:rsid w:val="00F8744C"/>
    <w:rsid w:val="00FC7853"/>
    <w:rsid w:val="00FF6FD9"/>
    <w:rsid w:val="015C5E96"/>
    <w:rsid w:val="01634882"/>
    <w:rsid w:val="01C631F6"/>
    <w:rsid w:val="01E6443F"/>
    <w:rsid w:val="02017B58"/>
    <w:rsid w:val="02721111"/>
    <w:rsid w:val="02984101"/>
    <w:rsid w:val="02AA0116"/>
    <w:rsid w:val="02E87E56"/>
    <w:rsid w:val="03056101"/>
    <w:rsid w:val="03F37758"/>
    <w:rsid w:val="04945913"/>
    <w:rsid w:val="04E42112"/>
    <w:rsid w:val="05413408"/>
    <w:rsid w:val="05F74146"/>
    <w:rsid w:val="06137352"/>
    <w:rsid w:val="061B274A"/>
    <w:rsid w:val="064F2365"/>
    <w:rsid w:val="06504EAF"/>
    <w:rsid w:val="06BF0A35"/>
    <w:rsid w:val="06BF1B73"/>
    <w:rsid w:val="06DA0DE4"/>
    <w:rsid w:val="06DD024B"/>
    <w:rsid w:val="06EA4FA9"/>
    <w:rsid w:val="073E3D36"/>
    <w:rsid w:val="08883E00"/>
    <w:rsid w:val="09945539"/>
    <w:rsid w:val="09C1778E"/>
    <w:rsid w:val="0A1D4625"/>
    <w:rsid w:val="0A6741D2"/>
    <w:rsid w:val="0B1A6AC6"/>
    <w:rsid w:val="0BDE7DC3"/>
    <w:rsid w:val="0C126BE9"/>
    <w:rsid w:val="0C200572"/>
    <w:rsid w:val="0C355511"/>
    <w:rsid w:val="0C7A0BEF"/>
    <w:rsid w:val="0D09242B"/>
    <w:rsid w:val="0E1365EF"/>
    <w:rsid w:val="0E150A21"/>
    <w:rsid w:val="0E6374E6"/>
    <w:rsid w:val="0EAF4BC3"/>
    <w:rsid w:val="0EB43DAF"/>
    <w:rsid w:val="0F5F3EF3"/>
    <w:rsid w:val="0FF40EB8"/>
    <w:rsid w:val="109D1177"/>
    <w:rsid w:val="10C842CC"/>
    <w:rsid w:val="1134688B"/>
    <w:rsid w:val="11392600"/>
    <w:rsid w:val="1194632E"/>
    <w:rsid w:val="126006AE"/>
    <w:rsid w:val="13E26EA1"/>
    <w:rsid w:val="14C51E88"/>
    <w:rsid w:val="150C7E65"/>
    <w:rsid w:val="154704EE"/>
    <w:rsid w:val="157079BA"/>
    <w:rsid w:val="159863B1"/>
    <w:rsid w:val="15D12754"/>
    <w:rsid w:val="161672D6"/>
    <w:rsid w:val="1622481C"/>
    <w:rsid w:val="166B1D39"/>
    <w:rsid w:val="17222C66"/>
    <w:rsid w:val="17305F57"/>
    <w:rsid w:val="17580716"/>
    <w:rsid w:val="18084440"/>
    <w:rsid w:val="18093DCC"/>
    <w:rsid w:val="18730A0F"/>
    <w:rsid w:val="18C97001"/>
    <w:rsid w:val="18CC437C"/>
    <w:rsid w:val="18D50C68"/>
    <w:rsid w:val="19474087"/>
    <w:rsid w:val="19793EE1"/>
    <w:rsid w:val="199A0D0F"/>
    <w:rsid w:val="19A846E9"/>
    <w:rsid w:val="1A0A04D2"/>
    <w:rsid w:val="1B8A5EF7"/>
    <w:rsid w:val="1B903686"/>
    <w:rsid w:val="1B97305B"/>
    <w:rsid w:val="1B974A15"/>
    <w:rsid w:val="1D3259D0"/>
    <w:rsid w:val="1DC24961"/>
    <w:rsid w:val="1E5310C7"/>
    <w:rsid w:val="1E5B441F"/>
    <w:rsid w:val="1EA45E63"/>
    <w:rsid w:val="1F0D35D1"/>
    <w:rsid w:val="1F354C71"/>
    <w:rsid w:val="202B5191"/>
    <w:rsid w:val="205A6B13"/>
    <w:rsid w:val="206568EA"/>
    <w:rsid w:val="20E06A7D"/>
    <w:rsid w:val="21330160"/>
    <w:rsid w:val="21F4671D"/>
    <w:rsid w:val="22046BDF"/>
    <w:rsid w:val="23815D4C"/>
    <w:rsid w:val="24076F82"/>
    <w:rsid w:val="241B7C05"/>
    <w:rsid w:val="24942B20"/>
    <w:rsid w:val="24DD188B"/>
    <w:rsid w:val="252211D6"/>
    <w:rsid w:val="25887787"/>
    <w:rsid w:val="25FA3685"/>
    <w:rsid w:val="266076DB"/>
    <w:rsid w:val="26776511"/>
    <w:rsid w:val="268B4ED1"/>
    <w:rsid w:val="27734588"/>
    <w:rsid w:val="277864BA"/>
    <w:rsid w:val="28312B7C"/>
    <w:rsid w:val="28A11F36"/>
    <w:rsid w:val="28D01566"/>
    <w:rsid w:val="28FD2CB1"/>
    <w:rsid w:val="29365CAD"/>
    <w:rsid w:val="293E52B8"/>
    <w:rsid w:val="29DB5C0A"/>
    <w:rsid w:val="29F179E6"/>
    <w:rsid w:val="29F82F90"/>
    <w:rsid w:val="2A5F7045"/>
    <w:rsid w:val="2AB1519A"/>
    <w:rsid w:val="2B644C3D"/>
    <w:rsid w:val="2BA2368E"/>
    <w:rsid w:val="2CD609DF"/>
    <w:rsid w:val="2D173504"/>
    <w:rsid w:val="2D584173"/>
    <w:rsid w:val="2D5E1836"/>
    <w:rsid w:val="2D87060C"/>
    <w:rsid w:val="2D8D1724"/>
    <w:rsid w:val="2DF82C01"/>
    <w:rsid w:val="2E043743"/>
    <w:rsid w:val="2E332AA1"/>
    <w:rsid w:val="2E4C168F"/>
    <w:rsid w:val="2E543CF2"/>
    <w:rsid w:val="2EC3624D"/>
    <w:rsid w:val="2FC30135"/>
    <w:rsid w:val="2FF742B8"/>
    <w:rsid w:val="2FF96CC5"/>
    <w:rsid w:val="302B1693"/>
    <w:rsid w:val="305A1A58"/>
    <w:rsid w:val="313553C8"/>
    <w:rsid w:val="31655B0D"/>
    <w:rsid w:val="31692558"/>
    <w:rsid w:val="31993E7B"/>
    <w:rsid w:val="31C639EB"/>
    <w:rsid w:val="33C822A9"/>
    <w:rsid w:val="33D13306"/>
    <w:rsid w:val="34381BB9"/>
    <w:rsid w:val="346E4C3E"/>
    <w:rsid w:val="34792FA7"/>
    <w:rsid w:val="34E7325F"/>
    <w:rsid w:val="352E66C1"/>
    <w:rsid w:val="3536230F"/>
    <w:rsid w:val="353A1D22"/>
    <w:rsid w:val="358326D9"/>
    <w:rsid w:val="35A50ADE"/>
    <w:rsid w:val="35E67FB6"/>
    <w:rsid w:val="36127845"/>
    <w:rsid w:val="36C95CEF"/>
    <w:rsid w:val="370A2A0D"/>
    <w:rsid w:val="3742665C"/>
    <w:rsid w:val="374E6478"/>
    <w:rsid w:val="37691FF5"/>
    <w:rsid w:val="37B7401D"/>
    <w:rsid w:val="37F24831"/>
    <w:rsid w:val="38A65E3F"/>
    <w:rsid w:val="390A264A"/>
    <w:rsid w:val="392C2F5A"/>
    <w:rsid w:val="397D4903"/>
    <w:rsid w:val="39B5544D"/>
    <w:rsid w:val="3A320271"/>
    <w:rsid w:val="3A7701FA"/>
    <w:rsid w:val="3A7F2E46"/>
    <w:rsid w:val="3C440751"/>
    <w:rsid w:val="3C832710"/>
    <w:rsid w:val="3D2363DE"/>
    <w:rsid w:val="3D4177E4"/>
    <w:rsid w:val="3DCA082C"/>
    <w:rsid w:val="3E11752A"/>
    <w:rsid w:val="3E5B195E"/>
    <w:rsid w:val="3E962A3C"/>
    <w:rsid w:val="3F5A2E5F"/>
    <w:rsid w:val="3FDC7E66"/>
    <w:rsid w:val="40521A06"/>
    <w:rsid w:val="41290DC2"/>
    <w:rsid w:val="41401B13"/>
    <w:rsid w:val="415648A7"/>
    <w:rsid w:val="4201279B"/>
    <w:rsid w:val="425E5917"/>
    <w:rsid w:val="43D74CD1"/>
    <w:rsid w:val="44215A5E"/>
    <w:rsid w:val="442A4395"/>
    <w:rsid w:val="44EB4C42"/>
    <w:rsid w:val="457631D1"/>
    <w:rsid w:val="459B57C3"/>
    <w:rsid w:val="45C20BF4"/>
    <w:rsid w:val="45C344D5"/>
    <w:rsid w:val="45E85779"/>
    <w:rsid w:val="46016364"/>
    <w:rsid w:val="461E6C96"/>
    <w:rsid w:val="46CE4EDF"/>
    <w:rsid w:val="477B29EB"/>
    <w:rsid w:val="48612BE4"/>
    <w:rsid w:val="488830A7"/>
    <w:rsid w:val="49003852"/>
    <w:rsid w:val="493A2CBF"/>
    <w:rsid w:val="496F08EC"/>
    <w:rsid w:val="49A63177"/>
    <w:rsid w:val="49D722FD"/>
    <w:rsid w:val="4A6B0703"/>
    <w:rsid w:val="4A7A7671"/>
    <w:rsid w:val="4AA05962"/>
    <w:rsid w:val="4AB7350D"/>
    <w:rsid w:val="4ACE3700"/>
    <w:rsid w:val="4AE66BEE"/>
    <w:rsid w:val="4B4B56F3"/>
    <w:rsid w:val="4C053323"/>
    <w:rsid w:val="4C136D28"/>
    <w:rsid w:val="4C655C84"/>
    <w:rsid w:val="4C9F1126"/>
    <w:rsid w:val="4C9F626B"/>
    <w:rsid w:val="4CAB666A"/>
    <w:rsid w:val="4D122C85"/>
    <w:rsid w:val="4D857F0A"/>
    <w:rsid w:val="4DF12B52"/>
    <w:rsid w:val="4F055F5E"/>
    <w:rsid w:val="4F0B18BC"/>
    <w:rsid w:val="4F452174"/>
    <w:rsid w:val="4FE7706C"/>
    <w:rsid w:val="50131BB5"/>
    <w:rsid w:val="505113D2"/>
    <w:rsid w:val="50521BD4"/>
    <w:rsid w:val="50C82E97"/>
    <w:rsid w:val="50E424AD"/>
    <w:rsid w:val="50EE52D5"/>
    <w:rsid w:val="51AA6DB2"/>
    <w:rsid w:val="51C56367"/>
    <w:rsid w:val="51E5765F"/>
    <w:rsid w:val="52992845"/>
    <w:rsid w:val="52CA49FA"/>
    <w:rsid w:val="53207071"/>
    <w:rsid w:val="539E7DC9"/>
    <w:rsid w:val="54CD4A28"/>
    <w:rsid w:val="54D67D81"/>
    <w:rsid w:val="552B7848"/>
    <w:rsid w:val="55416370"/>
    <w:rsid w:val="554625B3"/>
    <w:rsid w:val="56121DC3"/>
    <w:rsid w:val="563F63B6"/>
    <w:rsid w:val="568808C2"/>
    <w:rsid w:val="56B23ED5"/>
    <w:rsid w:val="56E7781E"/>
    <w:rsid w:val="56F049FE"/>
    <w:rsid w:val="56FA2A0D"/>
    <w:rsid w:val="572F79C6"/>
    <w:rsid w:val="58713534"/>
    <w:rsid w:val="59062395"/>
    <w:rsid w:val="59064057"/>
    <w:rsid w:val="59335F3B"/>
    <w:rsid w:val="599B6A4C"/>
    <w:rsid w:val="59A15799"/>
    <w:rsid w:val="59AB4144"/>
    <w:rsid w:val="5A1070D1"/>
    <w:rsid w:val="5A1125CC"/>
    <w:rsid w:val="5B4077C3"/>
    <w:rsid w:val="5B5F7938"/>
    <w:rsid w:val="5B67083D"/>
    <w:rsid w:val="5B7126F2"/>
    <w:rsid w:val="5BB213D6"/>
    <w:rsid w:val="5CC16B98"/>
    <w:rsid w:val="5CF75F03"/>
    <w:rsid w:val="5DC20C4E"/>
    <w:rsid w:val="5DFB2A2E"/>
    <w:rsid w:val="5E033269"/>
    <w:rsid w:val="5E4B3F43"/>
    <w:rsid w:val="5E8C49AC"/>
    <w:rsid w:val="5E9B4724"/>
    <w:rsid w:val="5EF86B45"/>
    <w:rsid w:val="5F1E7A22"/>
    <w:rsid w:val="5F555081"/>
    <w:rsid w:val="5FF76DFD"/>
    <w:rsid w:val="609008FA"/>
    <w:rsid w:val="60CA4EB4"/>
    <w:rsid w:val="60F472F2"/>
    <w:rsid w:val="61194FDB"/>
    <w:rsid w:val="61271964"/>
    <w:rsid w:val="62755297"/>
    <w:rsid w:val="642668A5"/>
    <w:rsid w:val="647C58F1"/>
    <w:rsid w:val="6492430D"/>
    <w:rsid w:val="64AE0463"/>
    <w:rsid w:val="64B24842"/>
    <w:rsid w:val="653A1489"/>
    <w:rsid w:val="65427E21"/>
    <w:rsid w:val="656D536E"/>
    <w:rsid w:val="658374B7"/>
    <w:rsid w:val="65E16585"/>
    <w:rsid w:val="65F81404"/>
    <w:rsid w:val="664E537B"/>
    <w:rsid w:val="66D1483C"/>
    <w:rsid w:val="672F1572"/>
    <w:rsid w:val="67AC7A22"/>
    <w:rsid w:val="68685888"/>
    <w:rsid w:val="68815DFE"/>
    <w:rsid w:val="68B57855"/>
    <w:rsid w:val="691B0000"/>
    <w:rsid w:val="69823580"/>
    <w:rsid w:val="6AC374A9"/>
    <w:rsid w:val="6B0D5727"/>
    <w:rsid w:val="6B2E05FD"/>
    <w:rsid w:val="6B7E6624"/>
    <w:rsid w:val="6BB72AB5"/>
    <w:rsid w:val="6BF84629"/>
    <w:rsid w:val="6C3F5C85"/>
    <w:rsid w:val="6C9172AB"/>
    <w:rsid w:val="6CBE0106"/>
    <w:rsid w:val="6E1206A1"/>
    <w:rsid w:val="6E453429"/>
    <w:rsid w:val="6E6B0E8A"/>
    <w:rsid w:val="6ED36561"/>
    <w:rsid w:val="6EED7217"/>
    <w:rsid w:val="70231548"/>
    <w:rsid w:val="70384FF4"/>
    <w:rsid w:val="703F3234"/>
    <w:rsid w:val="70947B5E"/>
    <w:rsid w:val="70F41C77"/>
    <w:rsid w:val="70FD5D0C"/>
    <w:rsid w:val="71784236"/>
    <w:rsid w:val="71A57BA7"/>
    <w:rsid w:val="71C261EB"/>
    <w:rsid w:val="71DA7A84"/>
    <w:rsid w:val="725F4533"/>
    <w:rsid w:val="726E2280"/>
    <w:rsid w:val="729A2938"/>
    <w:rsid w:val="72D82ABE"/>
    <w:rsid w:val="734D36C7"/>
    <w:rsid w:val="734F6786"/>
    <w:rsid w:val="73845CC9"/>
    <w:rsid w:val="73FF0239"/>
    <w:rsid w:val="74753C1E"/>
    <w:rsid w:val="74C60678"/>
    <w:rsid w:val="75232716"/>
    <w:rsid w:val="75CD1E20"/>
    <w:rsid w:val="76781492"/>
    <w:rsid w:val="76B255A9"/>
    <w:rsid w:val="76E0761A"/>
    <w:rsid w:val="771F1FA9"/>
    <w:rsid w:val="775D79BE"/>
    <w:rsid w:val="78044A89"/>
    <w:rsid w:val="784E77E8"/>
    <w:rsid w:val="78601C0A"/>
    <w:rsid w:val="78630991"/>
    <w:rsid w:val="78BD4522"/>
    <w:rsid w:val="78C81F12"/>
    <w:rsid w:val="78CE0BEB"/>
    <w:rsid w:val="78D411D9"/>
    <w:rsid w:val="7956473D"/>
    <w:rsid w:val="79EC4C14"/>
    <w:rsid w:val="7A16385A"/>
    <w:rsid w:val="7A3F4800"/>
    <w:rsid w:val="7AC42668"/>
    <w:rsid w:val="7AE02444"/>
    <w:rsid w:val="7BFD680E"/>
    <w:rsid w:val="7C38005C"/>
    <w:rsid w:val="7C512218"/>
    <w:rsid w:val="7CCE35F1"/>
    <w:rsid w:val="7CE154DA"/>
    <w:rsid w:val="7D3D2951"/>
    <w:rsid w:val="7D637428"/>
    <w:rsid w:val="7D6E4856"/>
    <w:rsid w:val="7E446934"/>
    <w:rsid w:val="7E685AFC"/>
    <w:rsid w:val="7EAC4C9B"/>
    <w:rsid w:val="7F051474"/>
    <w:rsid w:val="7F227E65"/>
    <w:rsid w:val="7F833AC0"/>
    <w:rsid w:val="7F9B1B78"/>
    <w:rsid w:val="7FC13178"/>
    <w:rsid w:val="7FFB1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widowControl w:val="0"/>
      <w:adjustRightInd w:val="0"/>
      <w:spacing w:before="240" w:after="120" w:line="360" w:lineRule="auto"/>
      <w:ind w:firstLine="200" w:firstLineChars="200"/>
      <w:jc w:val="both"/>
      <w:textAlignment w:val="baseline"/>
    </w:pPr>
    <w:rPr>
      <w:rFonts w:hint="eastAsia" w:ascii="宋体" w:hAnsi="Times New Roman" w:eastAsia="宋体" w:cs="Times New Roman"/>
      <w:kern w:val="2"/>
      <w:sz w:val="24"/>
      <w:szCs w:val="24"/>
      <w:lang w:val="en-US" w:eastAsia="zh-CN" w:bidi="ar-SA"/>
    </w:rPr>
  </w:style>
  <w:style w:type="paragraph" w:styleId="4">
    <w:name w:val="heading 1"/>
    <w:basedOn w:val="1"/>
    <w:next w:val="1"/>
    <w:unhideWhenUsed/>
    <w:qFormat/>
    <w:uiPriority w:val="0"/>
    <w:pPr>
      <w:keepNext/>
      <w:keepLines/>
      <w:pageBreakBefore/>
      <w:numPr>
        <w:ilvl w:val="0"/>
        <w:numId w:val="1"/>
      </w:numPr>
      <w:spacing w:after="480" w:line="240" w:lineRule="auto"/>
      <w:ind w:firstLine="0" w:firstLineChars="0"/>
      <w:jc w:val="center"/>
      <w:outlineLvl w:val="0"/>
    </w:pPr>
    <w:rPr>
      <w:rFonts w:hAnsi="宋体"/>
      <w:b/>
      <w:spacing w:val="20"/>
      <w:kern w:val="44"/>
      <w:sz w:val="44"/>
      <w:szCs w:val="44"/>
    </w:rPr>
  </w:style>
  <w:style w:type="paragraph" w:styleId="5">
    <w:name w:val="heading 2"/>
    <w:basedOn w:val="1"/>
    <w:next w:val="1"/>
    <w:unhideWhenUsed/>
    <w:qFormat/>
    <w:uiPriority w:val="0"/>
    <w:pPr>
      <w:keepNext/>
      <w:keepLines/>
      <w:numPr>
        <w:ilvl w:val="1"/>
        <w:numId w:val="1"/>
      </w:numPr>
      <w:tabs>
        <w:tab w:val="left" w:pos="720"/>
      </w:tabs>
      <w:spacing w:before="360" w:line="415" w:lineRule="auto"/>
      <w:ind w:firstLine="0" w:firstLineChars="0"/>
      <w:outlineLvl w:val="1"/>
    </w:pPr>
    <w:rPr>
      <w:rFonts w:hint="default" w:ascii="Arial" w:hAnsi="Arial" w:cs="Arial"/>
      <w:b/>
      <w:spacing w:val="20"/>
      <w:sz w:val="30"/>
      <w:szCs w:val="32"/>
      <w:lang w:bidi="th-TH"/>
    </w:rPr>
  </w:style>
  <w:style w:type="paragraph" w:styleId="6">
    <w:name w:val="heading 3"/>
    <w:basedOn w:val="1"/>
    <w:next w:val="1"/>
    <w:unhideWhenUsed/>
    <w:qFormat/>
    <w:uiPriority w:val="0"/>
    <w:pPr>
      <w:keepNext/>
      <w:keepLines/>
      <w:numPr>
        <w:ilvl w:val="2"/>
        <w:numId w:val="1"/>
      </w:numPr>
      <w:tabs>
        <w:tab w:val="left" w:pos="1174"/>
      </w:tabs>
      <w:spacing w:before="360" w:line="415" w:lineRule="auto"/>
      <w:ind w:left="1003" w:firstLine="0" w:firstLineChars="0"/>
      <w:jc w:val="left"/>
      <w:outlineLvl w:val="2"/>
    </w:pPr>
    <w:rPr>
      <w:b/>
      <w:spacing w:val="20"/>
      <w:szCs w:val="28"/>
    </w:rPr>
  </w:style>
  <w:style w:type="paragraph" w:styleId="7">
    <w:name w:val="heading 4"/>
    <w:basedOn w:val="1"/>
    <w:next w:val="1"/>
    <w:unhideWhenUsed/>
    <w:qFormat/>
    <w:uiPriority w:val="0"/>
    <w:pPr>
      <w:keepNext/>
      <w:keepLines/>
      <w:numPr>
        <w:ilvl w:val="0"/>
        <w:numId w:val="2"/>
      </w:numPr>
      <w:spacing w:before="280" w:after="290" w:line="372" w:lineRule="auto"/>
      <w:outlineLvl w:val="3"/>
    </w:pPr>
    <w:rPr>
      <w:rFonts w:ascii="Arial" w:hAnsi="Arial" w:eastAsia="黑体"/>
      <w:b/>
      <w:sz w:val="28"/>
    </w:rPr>
  </w:style>
  <w:style w:type="paragraph" w:styleId="8">
    <w:name w:val="heading 5"/>
    <w:basedOn w:val="1"/>
    <w:next w:val="1"/>
    <w:unhideWhenUsed/>
    <w:qFormat/>
    <w:uiPriority w:val="0"/>
    <w:pPr>
      <w:keepNext/>
      <w:keepLines/>
      <w:spacing w:before="280" w:after="290" w:line="372" w:lineRule="auto"/>
      <w:outlineLvl w:val="4"/>
    </w:pPr>
    <w:rPr>
      <w:b/>
      <w:sz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unhideWhenUsed/>
    <w:qFormat/>
    <w:uiPriority w:val="99"/>
  </w:style>
  <w:style w:type="paragraph" w:styleId="9">
    <w:name w:val="Normal Indent"/>
    <w:basedOn w:val="1"/>
    <w:qFormat/>
    <w:uiPriority w:val="0"/>
    <w:pPr>
      <w:ind w:firstLine="420"/>
    </w:pPr>
  </w:style>
  <w:style w:type="paragraph" w:styleId="10">
    <w:name w:val="annotation text"/>
    <w:basedOn w:val="1"/>
    <w:link w:val="34"/>
    <w:semiHidden/>
    <w:qFormat/>
    <w:uiPriority w:val="0"/>
    <w:pPr>
      <w:jc w:val="left"/>
    </w:pPr>
  </w:style>
  <w:style w:type="paragraph" w:styleId="11">
    <w:name w:val="Body Text 3"/>
    <w:basedOn w:val="1"/>
    <w:unhideWhenUsed/>
    <w:qFormat/>
    <w:uiPriority w:val="99"/>
    <w:rPr>
      <w:sz w:val="16"/>
      <w:szCs w:val="16"/>
    </w:rPr>
  </w:style>
  <w:style w:type="paragraph" w:styleId="12">
    <w:name w:val="toc 3"/>
    <w:basedOn w:val="1"/>
    <w:next w:val="1"/>
    <w:unhideWhenUsed/>
    <w:qFormat/>
    <w:uiPriority w:val="39"/>
    <w:pPr>
      <w:ind w:left="840" w:leftChars="400"/>
    </w:pPr>
  </w:style>
  <w:style w:type="paragraph" w:styleId="13">
    <w:name w:val="Balloon Text"/>
    <w:basedOn w:val="1"/>
    <w:link w:val="33"/>
    <w:qFormat/>
    <w:uiPriority w:val="0"/>
    <w:pPr>
      <w:spacing w:before="0" w:after="0" w:line="240" w:lineRule="auto"/>
    </w:pPr>
    <w:rPr>
      <w:sz w:val="18"/>
      <w:szCs w:val="18"/>
    </w:rPr>
  </w:style>
  <w:style w:type="paragraph" w:styleId="14">
    <w:name w:val="footer"/>
    <w:basedOn w:val="1"/>
    <w:unhideWhenUsed/>
    <w:qFormat/>
    <w:uiPriority w:val="99"/>
    <w:pPr>
      <w:tabs>
        <w:tab w:val="center" w:pos="4153"/>
        <w:tab w:val="right" w:pos="8306"/>
      </w:tabs>
      <w:snapToGrid w:val="0"/>
      <w:spacing w:line="240" w:lineRule="auto"/>
      <w:jc w:val="left"/>
    </w:pPr>
    <w:rPr>
      <w:sz w:val="18"/>
      <w:szCs w:val="18"/>
    </w:rPr>
  </w:style>
  <w:style w:type="paragraph" w:styleId="15">
    <w:name w:val="header"/>
    <w:basedOn w:val="1"/>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6">
    <w:name w:val="toc 1"/>
    <w:basedOn w:val="1"/>
    <w:next w:val="1"/>
    <w:unhideWhenUsed/>
    <w:qFormat/>
    <w:uiPriority w:val="39"/>
  </w:style>
  <w:style w:type="paragraph" w:styleId="17">
    <w:name w:val="toc 2"/>
    <w:basedOn w:val="1"/>
    <w:next w:val="1"/>
    <w:unhideWhenUsed/>
    <w:qFormat/>
    <w:uiPriority w:val="39"/>
    <w:pPr>
      <w:ind w:left="420" w:leftChars="200"/>
    </w:pPr>
  </w:style>
  <w:style w:type="paragraph" w:styleId="18">
    <w:name w:val="Body Text 2"/>
    <w:basedOn w:val="1"/>
    <w:qFormat/>
    <w:uiPriority w:val="0"/>
    <w:rPr>
      <w:rFonts w:ascii="Univers" w:hAnsi="Univers"/>
      <w:lang w:val="en-GB"/>
    </w:rPr>
  </w:style>
  <w:style w:type="paragraph" w:styleId="19">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default" w:ascii="MingLiU" w:hAnsi="MingLiU" w:eastAsia="MingLiU" w:cs="MingLiU"/>
      <w:kern w:val="0"/>
    </w:rPr>
  </w:style>
  <w:style w:type="paragraph" w:styleId="20">
    <w:name w:val="Normal (Web)"/>
    <w:basedOn w:val="1"/>
    <w:unhideWhenUsed/>
    <w:qFormat/>
    <w:uiPriority w:val="99"/>
    <w:pPr>
      <w:widowControl/>
      <w:adjustRightInd/>
      <w:spacing w:before="100" w:beforeAutospacing="1" w:after="100" w:afterAutospacing="1" w:line="240" w:lineRule="auto"/>
      <w:ind w:firstLine="0" w:firstLineChars="0"/>
      <w:jc w:val="left"/>
      <w:textAlignment w:val="auto"/>
    </w:pPr>
    <w:rPr>
      <w:rFonts w:hint="default" w:hAnsi="宋体" w:cs="宋体"/>
      <w:kern w:val="0"/>
    </w:rPr>
  </w:style>
  <w:style w:type="paragraph" w:styleId="21">
    <w:name w:val="annotation subject"/>
    <w:basedOn w:val="10"/>
    <w:next w:val="10"/>
    <w:link w:val="35"/>
    <w:qFormat/>
    <w:uiPriority w:val="0"/>
    <w:rPr>
      <w:b/>
      <w:bCs/>
    </w:rPr>
  </w:style>
  <w:style w:type="table" w:styleId="23">
    <w:name w:val="Table Grid"/>
    <w:basedOn w:val="22"/>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qFormat/>
    <w:uiPriority w:val="22"/>
    <w:rPr>
      <w:b/>
      <w:bCs/>
    </w:rPr>
  </w:style>
  <w:style w:type="character" w:styleId="26">
    <w:name w:val="annotation reference"/>
    <w:basedOn w:val="24"/>
    <w:qFormat/>
    <w:uiPriority w:val="0"/>
    <w:rPr>
      <w:sz w:val="21"/>
      <w:szCs w:val="21"/>
    </w:rPr>
  </w:style>
  <w:style w:type="paragraph" w:customStyle="1" w:styleId="27">
    <w:name w:val="Default Text"/>
    <w:basedOn w:val="1"/>
    <w:unhideWhenUsed/>
    <w:qFormat/>
    <w:uiPriority w:val="0"/>
    <w:pPr>
      <w:autoSpaceDE w:val="0"/>
      <w:autoSpaceDN w:val="0"/>
      <w:spacing w:before="0" w:after="0" w:line="240" w:lineRule="auto"/>
      <w:ind w:firstLine="0" w:firstLineChars="0"/>
      <w:jc w:val="left"/>
      <w:textAlignment w:val="auto"/>
    </w:pPr>
    <w:rPr>
      <w:rFonts w:hint="default" w:ascii="Times New Roman"/>
      <w:kern w:val="0"/>
    </w:rPr>
  </w:style>
  <w:style w:type="paragraph" w:customStyle="1" w:styleId="28">
    <w:name w:val="TOC 标题2"/>
    <w:basedOn w:val="4"/>
    <w:next w:val="1"/>
    <w:unhideWhenUsed/>
    <w:qFormat/>
    <w:uiPriority w:val="39"/>
    <w:pPr>
      <w:widowControl/>
      <w:numPr>
        <w:numId w:val="0"/>
      </w:numPr>
      <w:adjustRightInd/>
      <w:spacing w:after="0" w:line="259" w:lineRule="auto"/>
      <w:jc w:val="left"/>
      <w:textAlignment w:val="auto"/>
      <w:outlineLvl w:val="9"/>
    </w:pPr>
    <w:rPr>
      <w:rFonts w:ascii="等线 Light" w:hAnsi="等线 Light" w:eastAsia="等线 Light"/>
      <w:b w:val="0"/>
      <w:color w:val="2F5496"/>
      <w:spacing w:val="0"/>
      <w:kern w:val="0"/>
      <w:sz w:val="32"/>
      <w:szCs w:val="32"/>
    </w:rPr>
  </w:style>
  <w:style w:type="paragraph" w:customStyle="1" w:styleId="29">
    <w:name w:val="CN Title"/>
    <w:basedOn w:val="1"/>
    <w:unhideWhenUsed/>
    <w:qFormat/>
    <w:uiPriority w:val="0"/>
    <w:pPr>
      <w:widowControl/>
      <w:tabs>
        <w:tab w:val="left" w:pos="0"/>
      </w:tabs>
      <w:adjustRightInd/>
      <w:spacing w:before="28" w:after="28" w:line="240" w:lineRule="auto"/>
      <w:ind w:firstLine="0" w:firstLineChars="0"/>
      <w:textAlignment w:val="auto"/>
    </w:pPr>
    <w:rPr>
      <w:rFonts w:ascii="宋体常规" w:hAnsi="宋体常规" w:eastAsia="宋体常规"/>
      <w:kern w:val="0"/>
      <w:sz w:val="20"/>
      <w:szCs w:val="20"/>
      <w:lang w:eastAsia="en-US"/>
    </w:rPr>
  </w:style>
  <w:style w:type="paragraph" w:styleId="30">
    <w:name w:val="List Paragraph"/>
    <w:basedOn w:val="1"/>
    <w:unhideWhenUsed/>
    <w:qFormat/>
    <w:uiPriority w:val="34"/>
    <w:pPr>
      <w:ind w:firstLine="420"/>
    </w:pPr>
  </w:style>
  <w:style w:type="paragraph" w:customStyle="1" w:styleId="31">
    <w:name w:val="正文样式"/>
    <w:basedOn w:val="1"/>
    <w:unhideWhenUsed/>
    <w:qFormat/>
    <w:uiPriority w:val="0"/>
    <w:pPr>
      <w:spacing w:before="120"/>
    </w:pPr>
  </w:style>
  <w:style w:type="paragraph" w:customStyle="1" w:styleId="32">
    <w:name w:val="段落正文"/>
    <w:basedOn w:val="1"/>
    <w:qFormat/>
    <w:uiPriority w:val="0"/>
    <w:pPr>
      <w:spacing w:after="240" w:line="276" w:lineRule="auto"/>
      <w:ind w:firstLine="420"/>
    </w:pPr>
    <w:rPr>
      <w:rFonts w:hAnsi="宋体"/>
      <w:kern w:val="0"/>
      <w:szCs w:val="21"/>
    </w:rPr>
  </w:style>
  <w:style w:type="character" w:customStyle="1" w:styleId="33">
    <w:name w:val="批注框文本 字符"/>
    <w:basedOn w:val="24"/>
    <w:link w:val="13"/>
    <w:qFormat/>
    <w:uiPriority w:val="0"/>
    <w:rPr>
      <w:rFonts w:ascii="宋体"/>
      <w:kern w:val="2"/>
      <w:sz w:val="18"/>
      <w:szCs w:val="18"/>
    </w:rPr>
  </w:style>
  <w:style w:type="character" w:customStyle="1" w:styleId="34">
    <w:name w:val="批注文字 字符"/>
    <w:basedOn w:val="24"/>
    <w:link w:val="10"/>
    <w:semiHidden/>
    <w:qFormat/>
    <w:uiPriority w:val="0"/>
    <w:rPr>
      <w:rFonts w:ascii="宋体"/>
      <w:kern w:val="2"/>
      <w:sz w:val="24"/>
      <w:szCs w:val="24"/>
    </w:rPr>
  </w:style>
  <w:style w:type="character" w:customStyle="1" w:styleId="35">
    <w:name w:val="批注主题 字符"/>
    <w:basedOn w:val="34"/>
    <w:link w:val="21"/>
    <w:qFormat/>
    <w:uiPriority w:val="0"/>
    <w:rPr>
      <w:rFonts w:ascii="宋体"/>
      <w:b/>
      <w:bCs/>
      <w:kern w:val="2"/>
      <w:sz w:val="24"/>
      <w:szCs w:val="24"/>
    </w:rPr>
  </w:style>
  <w:style w:type="character" w:customStyle="1" w:styleId="36">
    <w:name w:val="font01"/>
    <w:basedOn w:val="24"/>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7A64B2-9C36-40ED-9891-58B503CD7771}">
  <ds:schemaRefs/>
</ds:datastoreItem>
</file>

<file path=docProps/app.xml><?xml version="1.0" encoding="utf-8"?>
<Properties xmlns="http://schemas.openxmlformats.org/officeDocument/2006/extended-properties" xmlns:vt="http://schemas.openxmlformats.org/officeDocument/2006/docPropsVTypes">
  <Template>Normal</Template>
  <Pages>19</Pages>
  <Words>6493</Words>
  <Characters>6687</Characters>
  <Lines>72</Lines>
  <Paragraphs>20</Paragraphs>
  <TotalTime>18</TotalTime>
  <ScaleCrop>false</ScaleCrop>
  <LinksUpToDate>false</LinksUpToDate>
  <CharactersWithSpaces>6765</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2024-10-31T07:16:00Z</dcterms:created>
  <dc:creator>刘小芳</dc:creator>
  <cp:lastModifiedBy>gongsha</cp:lastModifiedBy>
  <dcterms:modified xsi:type="dcterms:W3CDTF">2025-09-18T09:36:21Z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65CD0B3180994A159C8EDD7E1730EC8E_13</vt:lpwstr>
  </property>
  <property fmtid="{D5CDD505-2E9C-101B-9397-08002B2CF9AE}" pid="4" name="KSOTemplateDocerSaveRecord">
    <vt:lpwstr>eyJoZGlkIjoiMzEwNTM5NzYwMDRjMzkwZTVkZjY2ODkwMGIxNGU0OTUiLCJ1c2VySWQiOiI5NDcwMTkxODkifQ==</vt:lpwstr>
  </property>
</Properties>
</file>